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146" w:rsidRPr="00225542" w:rsidRDefault="0064052B" w:rsidP="00225542">
      <w:pPr>
        <w:pStyle w:val="Titre1"/>
        <w:spacing w:after="240"/>
        <w:jc w:val="center"/>
        <w:rPr>
          <w:rFonts w:ascii="Arial" w:eastAsia="Times New Roman" w:hAnsi="Arial" w:cs="Arial"/>
          <w:b/>
          <w:sz w:val="22"/>
          <w:szCs w:val="22"/>
        </w:rPr>
      </w:pPr>
      <w:r w:rsidRPr="00225542">
        <w:rPr>
          <w:rFonts w:ascii="Arial" w:eastAsia="Times New Roman" w:hAnsi="Arial" w:cs="Arial"/>
          <w:b/>
          <w:sz w:val="22"/>
          <w:szCs w:val="22"/>
        </w:rPr>
        <w:t>COMMENTAIRES DU C</w:t>
      </w:r>
      <w:r w:rsidR="00C15D33" w:rsidRPr="00225542">
        <w:rPr>
          <w:rFonts w:ascii="Arial" w:eastAsia="Times New Roman" w:hAnsi="Arial" w:cs="Arial"/>
          <w:b/>
          <w:sz w:val="22"/>
          <w:szCs w:val="22"/>
        </w:rPr>
        <w:t xml:space="preserve">OMITE </w:t>
      </w:r>
      <w:r w:rsidR="0065440E" w:rsidRPr="00225542">
        <w:rPr>
          <w:rFonts w:ascii="Arial" w:eastAsia="Times New Roman" w:hAnsi="Arial" w:cs="Arial"/>
          <w:b/>
          <w:sz w:val="22"/>
          <w:szCs w:val="22"/>
        </w:rPr>
        <w:t>EXÉCUTIF</w:t>
      </w:r>
      <w:r w:rsidRPr="00225542">
        <w:rPr>
          <w:rFonts w:ascii="Arial" w:eastAsia="Times New Roman" w:hAnsi="Arial" w:cs="Arial"/>
          <w:b/>
          <w:sz w:val="22"/>
          <w:szCs w:val="22"/>
        </w:rPr>
        <w:t xml:space="preserve"> AU RAPPORT D'ÉVALUATION INITIALE ET AU </w:t>
      </w:r>
      <w:r w:rsidR="00225542">
        <w:rPr>
          <w:rFonts w:ascii="Arial" w:eastAsia="Times New Roman" w:hAnsi="Arial" w:cs="Arial"/>
          <w:b/>
          <w:sz w:val="22"/>
          <w:szCs w:val="22"/>
        </w:rPr>
        <w:t>PROJET DE RAPPORT DU VALIDATEUR (</w:t>
      </w:r>
      <w:r w:rsidRPr="00225542">
        <w:rPr>
          <w:rFonts w:ascii="Arial" w:eastAsia="Times New Roman" w:hAnsi="Arial" w:cs="Arial"/>
          <w:b/>
          <w:sz w:val="22"/>
          <w:szCs w:val="22"/>
        </w:rPr>
        <w:t>Projet</w:t>
      </w:r>
      <w:r w:rsidR="00225542">
        <w:rPr>
          <w:rFonts w:ascii="Arial" w:eastAsia="Times New Roman" w:hAnsi="Arial" w:cs="Arial"/>
          <w:b/>
          <w:sz w:val="22"/>
          <w:szCs w:val="22"/>
        </w:rPr>
        <w:t>)</w:t>
      </w:r>
    </w:p>
    <w:tbl>
      <w:tblPr>
        <w:tblStyle w:val="TableauGrille1Clair-Accentuation5"/>
        <w:tblW w:w="14669" w:type="dxa"/>
        <w:tblLayout w:type="fixed"/>
        <w:tblCellMar>
          <w:top w:w="113" w:type="dxa"/>
        </w:tblCellMar>
        <w:tblLook w:val="04A0" w:firstRow="1" w:lastRow="0" w:firstColumn="1" w:lastColumn="0" w:noHBand="0" w:noVBand="1"/>
      </w:tblPr>
      <w:tblGrid>
        <w:gridCol w:w="1165"/>
        <w:gridCol w:w="2716"/>
        <w:gridCol w:w="1004"/>
        <w:gridCol w:w="2072"/>
        <w:gridCol w:w="1617"/>
        <w:gridCol w:w="5118"/>
        <w:gridCol w:w="977"/>
      </w:tblGrid>
      <w:tr w:rsidR="00871778" w:rsidRPr="00871778" w:rsidTr="00966F60">
        <w:trPr>
          <w:cnfStyle w:val="100000000000" w:firstRow="1" w:lastRow="0" w:firstColumn="0" w:lastColumn="0" w:oddVBand="0" w:evenVBand="0" w:oddHBand="0" w:evenHBand="0" w:firstRowFirstColumn="0" w:firstRowLastColumn="0" w:lastRowFirstColumn="0" w:lastRowLastColumn="0"/>
          <w:trHeight w:val="624"/>
          <w:tblHeader/>
        </w:trPr>
        <w:tc>
          <w:tcPr>
            <w:cnfStyle w:val="001000000000" w:firstRow="0" w:lastRow="0" w:firstColumn="1" w:lastColumn="0" w:oddVBand="0" w:evenVBand="0" w:oddHBand="0" w:evenHBand="0" w:firstRowFirstColumn="0" w:firstRowLastColumn="0" w:lastRowFirstColumn="0" w:lastRowLastColumn="0"/>
            <w:tcW w:w="1165" w:type="dxa"/>
            <w:hideMark/>
          </w:tcPr>
          <w:p w:rsidR="0064052B" w:rsidRPr="00871778" w:rsidRDefault="0064052B" w:rsidP="00E63A4C">
            <w:pPr>
              <w:rPr>
                <w:rFonts w:ascii="Calibri" w:eastAsia="Times New Roman" w:hAnsi="Calibri" w:cs="Calibri"/>
                <w:b w:val="0"/>
                <w:bCs w:val="0"/>
                <w:color w:val="2E74B5" w:themeColor="accent1" w:themeShade="BF"/>
                <w:sz w:val="16"/>
                <w:szCs w:val="16"/>
                <w:lang w:eastAsia="fr-FR"/>
              </w:rPr>
            </w:pPr>
            <w:r w:rsidRPr="00871778">
              <w:rPr>
                <w:rFonts w:ascii="Calibri" w:eastAsia="Times New Roman" w:hAnsi="Calibri" w:cs="Calibri"/>
                <w:color w:val="2E74B5" w:themeColor="accent1" w:themeShade="BF"/>
                <w:sz w:val="16"/>
                <w:szCs w:val="16"/>
                <w:lang w:eastAsia="fr-FR"/>
              </w:rPr>
              <w:t xml:space="preserve">Disposition ITIE  non satisfaite </w:t>
            </w:r>
          </w:p>
        </w:tc>
        <w:tc>
          <w:tcPr>
            <w:tcW w:w="2716" w:type="dxa"/>
            <w:hideMark/>
          </w:tcPr>
          <w:p w:rsidR="0064052B" w:rsidRPr="00871778" w:rsidRDefault="0064052B" w:rsidP="00E63A4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2E74B5" w:themeColor="accent1" w:themeShade="BF"/>
                <w:sz w:val="16"/>
                <w:szCs w:val="16"/>
                <w:lang w:eastAsia="fr-FR"/>
              </w:rPr>
            </w:pPr>
            <w:r w:rsidRPr="00871778">
              <w:rPr>
                <w:rFonts w:ascii="Calibri" w:eastAsia="Times New Roman" w:hAnsi="Calibri" w:cs="Calibri"/>
                <w:color w:val="2E74B5" w:themeColor="accent1" w:themeShade="BF"/>
                <w:sz w:val="16"/>
                <w:szCs w:val="16"/>
                <w:lang w:eastAsia="fr-FR"/>
              </w:rPr>
              <w:t>Évaluation initiale du Secrétariat International</w:t>
            </w:r>
          </w:p>
        </w:tc>
        <w:tc>
          <w:tcPr>
            <w:tcW w:w="1004" w:type="dxa"/>
            <w:hideMark/>
          </w:tcPr>
          <w:p w:rsidR="0064052B" w:rsidRPr="00871778" w:rsidRDefault="0064052B" w:rsidP="00E63A4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2E74B5" w:themeColor="accent1" w:themeShade="BF"/>
                <w:sz w:val="16"/>
                <w:szCs w:val="16"/>
                <w:lang w:eastAsia="fr-FR"/>
              </w:rPr>
            </w:pPr>
            <w:r w:rsidRPr="00871778">
              <w:rPr>
                <w:rFonts w:ascii="Calibri" w:eastAsia="Times New Roman" w:hAnsi="Calibri" w:cs="Calibri"/>
                <w:color w:val="2E74B5" w:themeColor="accent1" w:themeShade="BF"/>
                <w:sz w:val="16"/>
                <w:szCs w:val="16"/>
                <w:lang w:eastAsia="fr-FR"/>
              </w:rPr>
              <w:t>Évaluation du Validateur</w:t>
            </w:r>
          </w:p>
        </w:tc>
        <w:tc>
          <w:tcPr>
            <w:tcW w:w="2072" w:type="dxa"/>
            <w:hideMark/>
          </w:tcPr>
          <w:p w:rsidR="0064052B" w:rsidRPr="00871778" w:rsidRDefault="0064052B" w:rsidP="00E63A4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2E74B5" w:themeColor="accent1" w:themeShade="BF"/>
                <w:sz w:val="16"/>
                <w:szCs w:val="16"/>
                <w:lang w:eastAsia="fr-FR"/>
              </w:rPr>
            </w:pPr>
            <w:r w:rsidRPr="00871778">
              <w:rPr>
                <w:rFonts w:ascii="Calibri" w:eastAsia="Times New Roman" w:hAnsi="Calibri" w:cs="Calibri"/>
                <w:color w:val="2E74B5" w:themeColor="accent1" w:themeShade="BF"/>
                <w:sz w:val="16"/>
                <w:szCs w:val="16"/>
                <w:lang w:eastAsia="fr-FR"/>
              </w:rPr>
              <w:t>Recommandations du validateur</w:t>
            </w:r>
          </w:p>
        </w:tc>
        <w:tc>
          <w:tcPr>
            <w:tcW w:w="1617" w:type="dxa"/>
            <w:hideMark/>
          </w:tcPr>
          <w:p w:rsidR="0064052B" w:rsidRPr="00871778" w:rsidRDefault="0064052B" w:rsidP="00E63A4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2E74B5" w:themeColor="accent1" w:themeShade="BF"/>
                <w:sz w:val="16"/>
                <w:szCs w:val="16"/>
                <w:lang w:eastAsia="fr-FR"/>
              </w:rPr>
            </w:pPr>
            <w:r w:rsidRPr="00871778">
              <w:rPr>
                <w:rFonts w:ascii="Calibri" w:eastAsia="Times New Roman" w:hAnsi="Calibri" w:cs="Calibri"/>
                <w:color w:val="2E74B5" w:themeColor="accent1" w:themeShade="BF"/>
                <w:sz w:val="16"/>
                <w:szCs w:val="16"/>
                <w:lang w:eastAsia="fr-FR"/>
              </w:rPr>
              <w:t>Point de vue du C.E</w:t>
            </w:r>
          </w:p>
        </w:tc>
        <w:tc>
          <w:tcPr>
            <w:tcW w:w="5118" w:type="dxa"/>
            <w:hideMark/>
          </w:tcPr>
          <w:p w:rsidR="0064052B" w:rsidRPr="00871778" w:rsidRDefault="0064052B" w:rsidP="00E63A4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2E74B5" w:themeColor="accent1" w:themeShade="BF"/>
                <w:sz w:val="16"/>
                <w:szCs w:val="16"/>
                <w:lang w:eastAsia="fr-FR"/>
              </w:rPr>
            </w:pPr>
            <w:r w:rsidRPr="00871778">
              <w:rPr>
                <w:rFonts w:ascii="Calibri" w:eastAsia="Times New Roman" w:hAnsi="Calibri" w:cs="Calibri"/>
                <w:color w:val="2E74B5" w:themeColor="accent1" w:themeShade="BF"/>
                <w:sz w:val="16"/>
                <w:szCs w:val="16"/>
                <w:lang w:eastAsia="fr-FR"/>
              </w:rPr>
              <w:t>Commentaires du Comité Exécutif</w:t>
            </w:r>
          </w:p>
        </w:tc>
        <w:tc>
          <w:tcPr>
            <w:tcW w:w="977" w:type="dxa"/>
            <w:hideMark/>
          </w:tcPr>
          <w:p w:rsidR="0064052B" w:rsidRPr="00871778" w:rsidRDefault="0064052B" w:rsidP="00E63A4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2E74B5" w:themeColor="accent1" w:themeShade="BF"/>
                <w:sz w:val="16"/>
                <w:szCs w:val="16"/>
                <w:lang w:eastAsia="fr-FR"/>
              </w:rPr>
            </w:pPr>
            <w:r w:rsidRPr="00871778">
              <w:rPr>
                <w:rFonts w:ascii="Calibri" w:eastAsia="Times New Roman" w:hAnsi="Calibri" w:cs="Calibri"/>
                <w:color w:val="2E74B5" w:themeColor="accent1" w:themeShade="BF"/>
                <w:sz w:val="16"/>
                <w:szCs w:val="16"/>
                <w:lang w:eastAsia="fr-FR"/>
              </w:rPr>
              <w:t>Proposition du niveau de progrès</w:t>
            </w:r>
          </w:p>
        </w:tc>
      </w:tr>
      <w:tr w:rsidR="00A542BE" w:rsidRPr="00760930" w:rsidTr="00966F60">
        <w:trPr>
          <w:trHeight w:val="6732"/>
        </w:trPr>
        <w:tc>
          <w:tcPr>
            <w:cnfStyle w:val="001000000000" w:firstRow="0" w:lastRow="0" w:firstColumn="1" w:lastColumn="0" w:oddVBand="0" w:evenVBand="0" w:oddHBand="0" w:evenHBand="0" w:firstRowFirstColumn="0" w:firstRowLastColumn="0" w:lastRowFirstColumn="0" w:lastRowLastColumn="0"/>
            <w:tcW w:w="1165" w:type="dxa"/>
            <w:hideMark/>
          </w:tcPr>
          <w:p w:rsidR="0064052B" w:rsidRPr="00760930" w:rsidRDefault="0064052B" w:rsidP="00A22206">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t>Gouvernance du Groupe Multipartite (1.4)</w:t>
            </w:r>
          </w:p>
        </w:tc>
        <w:tc>
          <w:tcPr>
            <w:tcW w:w="2716" w:type="dxa"/>
            <w:hideMark/>
          </w:tcPr>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6"/>
                <w:szCs w:val="6"/>
                <w:lang w:eastAsia="fr-FR"/>
              </w:rPr>
            </w:pPr>
            <w:r w:rsidRPr="00760930">
              <w:rPr>
                <w:rFonts w:ascii="Calibri" w:eastAsia="Times New Roman" w:hAnsi="Calibri" w:cs="Calibri"/>
                <w:b/>
                <w:bCs/>
                <w:color w:val="000000"/>
                <w:sz w:val="16"/>
                <w:szCs w:val="16"/>
                <w:lang w:eastAsia="fr-FR"/>
              </w:rPr>
              <w:t>De la procédure de désignation des membres</w:t>
            </w:r>
            <w:r w:rsidRPr="00760930">
              <w:rPr>
                <w:rFonts w:ascii="Calibri" w:eastAsia="Times New Roman" w:hAnsi="Calibri" w:cs="Calibri"/>
                <w:color w:val="000000"/>
                <w:sz w:val="16"/>
                <w:szCs w:val="16"/>
                <w:lang w:eastAsia="fr-FR"/>
              </w:rPr>
              <w:br/>
            </w:r>
          </w:p>
          <w:p w:rsidR="008231E4" w:rsidRPr="00760930" w:rsidRDefault="0064052B" w:rsidP="008231E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 Groupe multipartite affiche une représentation appropriée de chaque collège, mais on ne sait toujours pas précisément par quel processus le collège de l’industrie a désigné ses représentants. Les </w:t>
            </w:r>
            <w:proofErr w:type="spellStart"/>
            <w:r w:rsidRPr="00760930">
              <w:rPr>
                <w:rFonts w:ascii="Calibri" w:eastAsia="Times New Roman" w:hAnsi="Calibri" w:cs="Calibri"/>
                <w:color w:val="000000"/>
                <w:sz w:val="16"/>
                <w:szCs w:val="16"/>
                <w:lang w:eastAsia="fr-FR"/>
              </w:rPr>
              <w:t>TdR</w:t>
            </w:r>
            <w:proofErr w:type="spellEnd"/>
            <w:r w:rsidRPr="00760930">
              <w:rPr>
                <w:rFonts w:ascii="Calibri" w:eastAsia="Times New Roman" w:hAnsi="Calibri" w:cs="Calibri"/>
                <w:color w:val="000000"/>
                <w:sz w:val="16"/>
                <w:szCs w:val="16"/>
                <w:lang w:eastAsia="fr-FR"/>
              </w:rPr>
              <w:t xml:space="preserve"> du Groupe multipartite définissent les rôles et les responsabilités de ses membres, et les dossiers de réunions indiquent que, dans l’ensemble, les membres du Groupe multipartite assument leurs fonctions et responsabilités. Il existe des preuves de sensibilisation et de coordination dans chacun des trois collèges au sens large représentées au sein du Groupe multipartite. Les règles relatives au quorum et à la prise de décision considèrent les trois collèges comme des partenaires égaux et semblent être suivies dans la pratique. </w:t>
            </w:r>
            <w:r w:rsidRPr="00760930">
              <w:rPr>
                <w:rFonts w:ascii="Calibri" w:eastAsia="Times New Roman" w:hAnsi="Calibri" w:cs="Calibri"/>
                <w:color w:val="000000"/>
                <w:sz w:val="16"/>
                <w:szCs w:val="16"/>
                <w:lang w:eastAsia="fr-FR"/>
              </w:rPr>
              <w:br/>
            </w:r>
            <w:r w:rsidRPr="00760930">
              <w:rPr>
                <w:rFonts w:ascii="Calibri" w:eastAsia="Times New Roman" w:hAnsi="Calibri" w:cs="Calibri"/>
                <w:b/>
                <w:bCs/>
                <w:color w:val="000000"/>
                <w:sz w:val="16"/>
                <w:szCs w:val="16"/>
                <w:lang w:eastAsia="fr-FR"/>
              </w:rPr>
              <w:t>de la mise à jour des textes de gouvernance</w:t>
            </w:r>
            <w:r w:rsidRPr="00760930">
              <w:rPr>
                <w:rFonts w:ascii="Calibri" w:eastAsia="Times New Roman" w:hAnsi="Calibri" w:cs="Calibri"/>
                <w:color w:val="000000"/>
                <w:sz w:val="16"/>
                <w:szCs w:val="16"/>
                <w:lang w:eastAsia="fr-FR"/>
              </w:rPr>
              <w:br/>
              <w:t xml:space="preserve">Cependant, dans l’attente de la promulgation du nouveau décret ITIE rédigé en 2018, les documents de gouvernance de l’ITIE RDC (à savoir le décret de 2009 et le Règlement intérieur de 2011) n’ont pas encore été mis à jour lors de la transition vers la Norme ITIE en 2013. Dans la pratique, il existe des écarts par rapport à ces documents de </w:t>
            </w:r>
            <w:r w:rsidRPr="00760930">
              <w:rPr>
                <w:rFonts w:ascii="Calibri" w:eastAsia="Times New Roman" w:hAnsi="Calibri" w:cs="Calibri"/>
                <w:color w:val="000000"/>
                <w:sz w:val="16"/>
                <w:szCs w:val="16"/>
                <w:lang w:eastAsia="fr-FR"/>
              </w:rPr>
              <w:lastRenderedPageBreak/>
              <w:t>gouvernance, par exemple dans la composition du Groupe multipartite.</w:t>
            </w:r>
            <w:r w:rsidRPr="00760930">
              <w:rPr>
                <w:rFonts w:ascii="Calibri" w:eastAsia="Times New Roman" w:hAnsi="Calibri" w:cs="Calibri"/>
                <w:color w:val="000000"/>
                <w:sz w:val="16"/>
                <w:szCs w:val="16"/>
                <w:lang w:eastAsia="fr-FR"/>
              </w:rPr>
              <w:br/>
            </w:r>
            <w:r w:rsidRPr="00760930">
              <w:rPr>
                <w:rFonts w:ascii="Calibri" w:eastAsia="Times New Roman" w:hAnsi="Calibri" w:cs="Calibri"/>
                <w:b/>
                <w:bCs/>
                <w:color w:val="000000"/>
                <w:sz w:val="16"/>
                <w:szCs w:val="16"/>
                <w:lang w:eastAsia="fr-FR"/>
              </w:rPr>
              <w:t>des conflits d'intérêts</w:t>
            </w:r>
            <w:r w:rsidRPr="00760930">
              <w:rPr>
                <w:rFonts w:ascii="Calibri" w:eastAsia="Times New Roman" w:hAnsi="Calibri" w:cs="Calibri"/>
                <w:color w:val="000000"/>
                <w:sz w:val="16"/>
                <w:szCs w:val="16"/>
                <w:lang w:eastAsia="fr-FR"/>
              </w:rPr>
              <w:br/>
              <w:t xml:space="preserve"> Bien que les </w:t>
            </w:r>
            <w:proofErr w:type="spellStart"/>
            <w:r w:rsidRPr="00760930">
              <w:rPr>
                <w:rFonts w:ascii="Calibri" w:eastAsia="Times New Roman" w:hAnsi="Calibri" w:cs="Calibri"/>
                <w:color w:val="000000"/>
                <w:sz w:val="16"/>
                <w:szCs w:val="16"/>
                <w:lang w:eastAsia="fr-FR"/>
              </w:rPr>
              <w:t>TdR</w:t>
            </w:r>
            <w:proofErr w:type="spellEnd"/>
            <w:r w:rsidRPr="00760930">
              <w:rPr>
                <w:rFonts w:ascii="Calibri" w:eastAsia="Times New Roman" w:hAnsi="Calibri" w:cs="Calibri"/>
                <w:color w:val="000000"/>
                <w:sz w:val="16"/>
                <w:szCs w:val="16"/>
                <w:lang w:eastAsia="fr-FR"/>
              </w:rPr>
              <w:t xml:space="preserve"> donnent au Groupe multipartite le mandat d’approuver les plans de travail, de nommer l’AI et d’approuver les </w:t>
            </w:r>
            <w:proofErr w:type="spellStart"/>
            <w:r w:rsidRPr="00760930">
              <w:rPr>
                <w:rFonts w:ascii="Calibri" w:eastAsia="Times New Roman" w:hAnsi="Calibri" w:cs="Calibri"/>
                <w:color w:val="000000"/>
                <w:sz w:val="16"/>
                <w:szCs w:val="16"/>
                <w:lang w:eastAsia="fr-FR"/>
              </w:rPr>
              <w:t>TdR</w:t>
            </w:r>
            <w:proofErr w:type="spellEnd"/>
            <w:r w:rsidRPr="00760930">
              <w:rPr>
                <w:rFonts w:ascii="Calibri" w:eastAsia="Times New Roman" w:hAnsi="Calibri" w:cs="Calibri"/>
                <w:color w:val="000000"/>
                <w:sz w:val="16"/>
                <w:szCs w:val="16"/>
                <w:lang w:eastAsia="fr-FR"/>
              </w:rPr>
              <w:t xml:space="preserve"> de celui-ci, les Rapports ITIE et les rapports annuels d’activité, ils ne comprennent que des règles et procédures de gouvernance interne sommaires qui ne s’étendent pas à des règles claires en matière de conflit d’intérêts ni à un Code de conduite plus général. </w:t>
            </w:r>
            <w:r w:rsidRPr="00760930">
              <w:rPr>
                <w:rFonts w:ascii="Calibri" w:eastAsia="Times New Roman" w:hAnsi="Calibri" w:cs="Calibri"/>
                <w:color w:val="000000"/>
                <w:sz w:val="16"/>
                <w:szCs w:val="16"/>
                <w:lang w:eastAsia="fr-FR"/>
              </w:rPr>
              <w:br/>
            </w:r>
            <w:r w:rsidRPr="00760930">
              <w:rPr>
                <w:rFonts w:ascii="Calibri" w:eastAsia="Times New Roman" w:hAnsi="Calibri" w:cs="Calibri"/>
                <w:b/>
                <w:bCs/>
                <w:color w:val="000000"/>
                <w:sz w:val="16"/>
                <w:szCs w:val="16"/>
                <w:lang w:eastAsia="fr-FR"/>
              </w:rPr>
              <w:t>Des indemnités journalières</w:t>
            </w:r>
            <w:r w:rsidRPr="00760930">
              <w:rPr>
                <w:rFonts w:ascii="Calibri" w:eastAsia="Times New Roman" w:hAnsi="Calibri" w:cs="Calibri"/>
                <w:color w:val="000000"/>
                <w:sz w:val="16"/>
                <w:szCs w:val="16"/>
                <w:lang w:eastAsia="fr-FR"/>
              </w:rPr>
              <w:br/>
              <w:t xml:space="preserve">Le manque de clarté sur les pratiques en matière d’indemnités journalières est une préoccupation, qui pourrait potentiellement conduire à des conflits d’intérêts. </w:t>
            </w:r>
            <w:r w:rsidRPr="00760930">
              <w:rPr>
                <w:rFonts w:ascii="Calibri" w:eastAsia="Times New Roman" w:hAnsi="Calibri" w:cs="Calibri"/>
                <w:color w:val="000000"/>
                <w:sz w:val="16"/>
                <w:szCs w:val="16"/>
                <w:lang w:eastAsia="fr-FR"/>
              </w:rPr>
              <w:br/>
            </w:r>
            <w:r w:rsidRPr="00760930">
              <w:rPr>
                <w:rFonts w:ascii="Calibri" w:eastAsia="Times New Roman" w:hAnsi="Calibri" w:cs="Calibri"/>
                <w:b/>
                <w:bCs/>
                <w:color w:val="000000"/>
                <w:sz w:val="16"/>
                <w:szCs w:val="16"/>
                <w:lang w:eastAsia="fr-FR"/>
              </w:rPr>
              <w:t>De la précarité de la gouvernance interne</w:t>
            </w:r>
            <w:r w:rsidRPr="00760930">
              <w:rPr>
                <w:rFonts w:ascii="Calibri" w:eastAsia="Times New Roman" w:hAnsi="Calibri" w:cs="Calibri"/>
                <w:color w:val="000000"/>
                <w:sz w:val="16"/>
                <w:szCs w:val="16"/>
                <w:lang w:eastAsia="fr-FR"/>
              </w:rPr>
              <w:br/>
              <w:t xml:space="preserve">L’ambiguïté liée à la gouvernance interne a pris de l’ampleur lors de la crise de gouvernance interne au sein de l’ITIE RDC en 2016-2017, qui pourrait être interprétée comme une violation du Code de conduite mondial de l’ITIE. Bien que la supervision du secrétariat national par le Groupe multipartite ait abouti à une solution temporaire permettant la reprise de la mise en œuvre de l’ITIE avant la Validation, y compris le recrutement d’une Coordinatrice Nationale par intérim et une </w:t>
            </w:r>
            <w:r w:rsidRPr="00760930">
              <w:rPr>
                <w:rFonts w:ascii="Calibri" w:eastAsia="Times New Roman" w:hAnsi="Calibri" w:cs="Calibri"/>
                <w:color w:val="000000"/>
                <w:sz w:val="16"/>
                <w:szCs w:val="16"/>
                <w:lang w:eastAsia="fr-FR"/>
              </w:rPr>
              <w:lastRenderedPageBreak/>
              <w:t>supervision plus stricte par le Groupe multipartite de la gestion financière de l’ITIE RDC, la gouvernance interne de l’ITIE RDC reste précaire. Les craintes concernant le fait que le recrutement de la Coordinatrice Nationale par intérim n’a pas respecté les règles</w:t>
            </w:r>
            <w:r w:rsidRPr="00760930">
              <w:rPr>
                <w:rFonts w:ascii="Calibri" w:eastAsia="Times New Roman" w:hAnsi="Calibri" w:cs="Calibri"/>
                <w:color w:val="000000"/>
                <w:sz w:val="16"/>
                <w:szCs w:val="16"/>
                <w:lang w:eastAsia="fr-FR"/>
              </w:rPr>
              <w:br/>
              <w:t>applicables, l’incertitude dans la gestion de la mise en œuvre quotidienne et le risque de conflit d’intérêts pourraient nuire à la crédibilité de l’ITIE</w:t>
            </w:r>
          </w:p>
        </w:tc>
        <w:tc>
          <w:tcPr>
            <w:tcW w:w="1004" w:type="dxa"/>
            <w:hideMark/>
          </w:tcPr>
          <w:p w:rsidR="0064052B" w:rsidRPr="00760930" w:rsidRDefault="0064052B" w:rsidP="008231E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Le validateur a approuvé les conclusions du SI ainsi que</w:t>
            </w:r>
            <w:r w:rsidRPr="00760930">
              <w:rPr>
                <w:rFonts w:ascii="Calibri" w:eastAsia="Times New Roman" w:hAnsi="Calibri" w:cs="Calibri"/>
                <w:b/>
                <w:bCs/>
                <w:color w:val="FF0000"/>
                <w:sz w:val="16"/>
                <w:szCs w:val="16"/>
                <w:lang w:eastAsia="fr-FR"/>
              </w:rPr>
              <w:t xml:space="preserve"> </w:t>
            </w:r>
            <w:r w:rsidRPr="00740E0B">
              <w:rPr>
                <w:rFonts w:ascii="Calibri" w:eastAsia="Times New Roman" w:hAnsi="Calibri" w:cs="Calibri"/>
                <w:b/>
                <w:bCs/>
                <w:sz w:val="16"/>
                <w:szCs w:val="16"/>
                <w:lang w:eastAsia="fr-FR"/>
              </w:rPr>
              <w:t xml:space="preserve">le niveau de </w:t>
            </w:r>
            <w:r w:rsidRPr="00871778">
              <w:rPr>
                <w:rFonts w:ascii="Calibri" w:eastAsia="Times New Roman" w:hAnsi="Calibri" w:cs="Calibri"/>
                <w:b/>
                <w:bCs/>
                <w:color w:val="FF0000"/>
                <w:sz w:val="16"/>
                <w:szCs w:val="16"/>
                <w:lang w:eastAsia="fr-FR"/>
              </w:rPr>
              <w:t>progrès Inadéquat</w:t>
            </w:r>
          </w:p>
        </w:tc>
        <w:tc>
          <w:tcPr>
            <w:tcW w:w="2072" w:type="dxa"/>
            <w:hideMark/>
          </w:tcPr>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Conformément à l’Exigence 1.4, le collège de l’industrie devra </w:t>
            </w:r>
            <w:r w:rsidRPr="00760930">
              <w:rPr>
                <w:rFonts w:ascii="Calibri" w:eastAsia="Times New Roman" w:hAnsi="Calibri" w:cs="Calibri"/>
                <w:color w:val="0000FF"/>
                <w:sz w:val="16"/>
                <w:szCs w:val="16"/>
                <w:lang w:eastAsia="fr-FR"/>
              </w:rPr>
              <w:t>(1)</w:t>
            </w:r>
            <w:r w:rsidRPr="00760930">
              <w:rPr>
                <w:rFonts w:ascii="Calibri" w:eastAsia="Times New Roman" w:hAnsi="Calibri" w:cs="Calibri"/>
                <w:sz w:val="16"/>
                <w:szCs w:val="16"/>
                <w:lang w:eastAsia="fr-FR"/>
              </w:rPr>
              <w:t xml:space="preserve"> approuver les procédures de nomination publiques avant la sélection des membres du Groupe multipartite </w:t>
            </w:r>
            <w:r w:rsidRPr="00760930">
              <w:rPr>
                <w:rFonts w:ascii="Calibri" w:eastAsia="Times New Roman" w:hAnsi="Calibri" w:cs="Calibri"/>
                <w:color w:val="000000"/>
                <w:sz w:val="16"/>
                <w:szCs w:val="16"/>
                <w:lang w:eastAsia="fr-FR"/>
              </w:rPr>
              <w:t xml:space="preserve">et </w:t>
            </w:r>
            <w:r w:rsidRPr="00760930">
              <w:rPr>
                <w:rFonts w:ascii="Calibri" w:eastAsia="Times New Roman" w:hAnsi="Calibri" w:cs="Calibri"/>
                <w:color w:val="000000"/>
                <w:sz w:val="16"/>
                <w:szCs w:val="16"/>
                <w:lang w:eastAsia="fr-FR"/>
              </w:rPr>
              <w:br/>
            </w:r>
            <w:r w:rsidRPr="00760930">
              <w:rPr>
                <w:rFonts w:ascii="Calibri" w:eastAsia="Times New Roman" w:hAnsi="Calibri" w:cs="Calibri"/>
                <w:color w:val="0000FF"/>
                <w:sz w:val="16"/>
                <w:szCs w:val="16"/>
                <w:lang w:eastAsia="fr-FR"/>
              </w:rPr>
              <w:t>(2)</w:t>
            </w:r>
            <w:r w:rsidRPr="00760930">
              <w:rPr>
                <w:rFonts w:ascii="Calibri" w:eastAsia="Times New Roman" w:hAnsi="Calibri" w:cs="Calibri"/>
                <w:sz w:val="16"/>
                <w:szCs w:val="16"/>
                <w:lang w:eastAsia="fr-FR"/>
              </w:rPr>
              <w:t xml:space="preserve"> la RDC devra renouveler la composition de ce dernier conformément aux procédures légales. </w:t>
            </w:r>
            <w:r w:rsidRPr="00760930">
              <w:rPr>
                <w:rFonts w:ascii="Calibri" w:eastAsia="Times New Roman" w:hAnsi="Calibri" w:cs="Calibri"/>
                <w:sz w:val="16"/>
                <w:szCs w:val="16"/>
                <w:lang w:eastAsia="fr-FR"/>
              </w:rPr>
              <w:br/>
            </w:r>
            <w:r w:rsidRPr="00760930">
              <w:rPr>
                <w:rFonts w:ascii="Calibri" w:eastAsia="Times New Roman" w:hAnsi="Calibri" w:cs="Calibri"/>
                <w:color w:val="0000FF"/>
                <w:sz w:val="16"/>
                <w:szCs w:val="16"/>
                <w:lang w:eastAsia="fr-FR"/>
              </w:rPr>
              <w:t>(3)</w:t>
            </w:r>
            <w:r w:rsidRPr="00760930">
              <w:rPr>
                <w:rFonts w:ascii="Calibri" w:eastAsia="Times New Roman" w:hAnsi="Calibri" w:cs="Calibri"/>
                <w:color w:val="000000"/>
                <w:sz w:val="16"/>
                <w:szCs w:val="16"/>
                <w:lang w:eastAsia="fr-FR"/>
              </w:rPr>
              <w:t xml:space="preserve"> </w:t>
            </w:r>
            <w:r w:rsidRPr="00760930">
              <w:rPr>
                <w:rFonts w:ascii="Calibri" w:eastAsia="Times New Roman" w:hAnsi="Calibri" w:cs="Calibri"/>
                <w:sz w:val="16"/>
                <w:szCs w:val="16"/>
                <w:lang w:eastAsia="fr-FR"/>
              </w:rPr>
              <w:t>La RDC devra mettre à jour ses règles de gouvernance interne afin de couvrir toutes les dispositions de l’Exigence 1.4.b et de veiller à ce que tout écart par rapport aux Termes de Référence (</w:t>
            </w:r>
            <w:proofErr w:type="spellStart"/>
            <w:r w:rsidRPr="00760930">
              <w:rPr>
                <w:rFonts w:ascii="Calibri" w:eastAsia="Times New Roman" w:hAnsi="Calibri" w:cs="Calibri"/>
                <w:sz w:val="16"/>
                <w:szCs w:val="16"/>
                <w:lang w:eastAsia="fr-FR"/>
              </w:rPr>
              <w:t>TdR</w:t>
            </w:r>
            <w:proofErr w:type="spellEnd"/>
            <w:r w:rsidRPr="00760930">
              <w:rPr>
                <w:rFonts w:ascii="Calibri" w:eastAsia="Times New Roman" w:hAnsi="Calibri" w:cs="Calibri"/>
                <w:sz w:val="16"/>
                <w:szCs w:val="16"/>
                <w:lang w:eastAsia="fr-FR"/>
              </w:rPr>
              <w:t>) soit correctement codifié</w:t>
            </w:r>
            <w:r w:rsidRPr="00760930">
              <w:rPr>
                <w:rFonts w:ascii="Calibri" w:eastAsia="Times New Roman" w:hAnsi="Calibri" w:cs="Calibri"/>
                <w:color w:val="000000"/>
                <w:sz w:val="16"/>
                <w:szCs w:val="16"/>
                <w:lang w:eastAsia="fr-FR"/>
              </w:rPr>
              <w:t xml:space="preserve">. </w:t>
            </w:r>
            <w:r w:rsidRPr="00760930">
              <w:rPr>
                <w:rFonts w:ascii="Calibri" w:eastAsia="Times New Roman" w:hAnsi="Calibri" w:cs="Calibri"/>
                <w:color w:val="000000"/>
                <w:sz w:val="16"/>
                <w:szCs w:val="16"/>
                <w:lang w:eastAsia="fr-FR"/>
              </w:rPr>
              <w:br/>
            </w:r>
            <w:r w:rsidRPr="00760930">
              <w:rPr>
                <w:rFonts w:ascii="Calibri" w:eastAsia="Times New Roman" w:hAnsi="Calibri" w:cs="Calibri"/>
                <w:color w:val="0000FF"/>
                <w:sz w:val="16"/>
                <w:szCs w:val="16"/>
                <w:lang w:eastAsia="fr-FR"/>
              </w:rPr>
              <w:t>(4)</w:t>
            </w:r>
            <w:r w:rsidRPr="00760930">
              <w:rPr>
                <w:rFonts w:ascii="Calibri" w:eastAsia="Times New Roman" w:hAnsi="Calibri" w:cs="Calibri"/>
                <w:color w:val="000000"/>
                <w:sz w:val="16"/>
                <w:szCs w:val="16"/>
                <w:lang w:eastAsia="fr-FR"/>
              </w:rPr>
              <w:t xml:space="preserve"> Conformément à l’Exigence 1.4.b-vi, la RDC doit clarifier la pratique des indemnités journalières pour assister aux réunions de l’ITIE ou tout autre paiement versé aux membres du Groupe multipartite, afin de s’assurer que cela n’affecte pas la gouvernance de la mise en œuvre de l’ITIE et ne crée pas de conflit d’intérêts.</w:t>
            </w:r>
          </w:p>
        </w:tc>
        <w:tc>
          <w:tcPr>
            <w:tcW w:w="1617" w:type="dxa"/>
            <w:hideMark/>
          </w:tcPr>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Pas d'accord avec le validateur</w:t>
            </w:r>
          </w:p>
        </w:tc>
        <w:tc>
          <w:tcPr>
            <w:tcW w:w="5118" w:type="dxa"/>
            <w:hideMark/>
          </w:tcPr>
          <w:p w:rsidR="00A22206" w:rsidRPr="00760930" w:rsidRDefault="00A542BE" w:rsidP="00A542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00"/>
                <w:sz w:val="16"/>
                <w:szCs w:val="16"/>
                <w:lang w:eastAsia="fr-FR"/>
              </w:rPr>
              <w:t xml:space="preserve">1. </w:t>
            </w:r>
            <w:r w:rsidR="0064052B" w:rsidRPr="00760930">
              <w:rPr>
                <w:rFonts w:ascii="Calibri" w:eastAsia="Times New Roman" w:hAnsi="Calibri" w:cs="Calibri"/>
                <w:b/>
                <w:bCs/>
                <w:color w:val="000000"/>
                <w:sz w:val="16"/>
                <w:szCs w:val="16"/>
                <w:lang w:eastAsia="fr-FR"/>
              </w:rPr>
              <w:t xml:space="preserve">Approuver les procédures de nomination publiques avant la sélection des membres du Groupe multipartite </w:t>
            </w:r>
            <w:r w:rsidR="0064052B" w:rsidRPr="00760930">
              <w:rPr>
                <w:rFonts w:ascii="Calibri" w:eastAsia="Times New Roman" w:hAnsi="Calibri" w:cs="Calibri"/>
                <w:b/>
                <w:bCs/>
                <w:color w:val="000000"/>
                <w:sz w:val="16"/>
                <w:szCs w:val="16"/>
                <w:lang w:eastAsia="fr-FR"/>
              </w:rPr>
              <w:br/>
            </w:r>
            <w:r w:rsidR="0064052B" w:rsidRPr="00760930">
              <w:rPr>
                <w:rFonts w:ascii="Calibri" w:eastAsia="Times New Roman" w:hAnsi="Calibri" w:cs="Calibri"/>
                <w:color w:val="000000"/>
                <w:sz w:val="16"/>
                <w:szCs w:val="16"/>
                <w:lang w:eastAsia="fr-FR"/>
              </w:rPr>
              <w:t>L'article 6 du Règlement intérieur de l'ITIE</w:t>
            </w:r>
            <w:r w:rsidR="0064052B" w:rsidRPr="00760930">
              <w:rPr>
                <w:rFonts w:ascii="Calibri" w:eastAsia="Times New Roman" w:hAnsi="Calibri" w:cs="Calibri"/>
                <w:color w:val="FF0000"/>
                <w:sz w:val="16"/>
                <w:szCs w:val="16"/>
                <w:lang w:eastAsia="fr-FR"/>
              </w:rPr>
              <w:t xml:space="preserve"> </w:t>
            </w:r>
            <w:r w:rsidR="0064052B" w:rsidRPr="00760930">
              <w:rPr>
                <w:rFonts w:ascii="Calibri" w:eastAsia="Times New Roman" w:hAnsi="Calibri" w:cs="Calibri"/>
                <w:color w:val="000066"/>
                <w:sz w:val="16"/>
                <w:szCs w:val="16"/>
                <w:lang w:eastAsia="fr-FR"/>
              </w:rPr>
              <w:t>(Règlement Intérieur du CN/ITIE-RDC du 16 septembre 2011)</w:t>
            </w:r>
            <w:r w:rsidR="0064052B" w:rsidRPr="00760930">
              <w:rPr>
                <w:rFonts w:ascii="Calibri" w:eastAsia="Times New Roman" w:hAnsi="Calibri" w:cs="Calibri"/>
                <w:color w:val="002060"/>
                <w:sz w:val="16"/>
                <w:szCs w:val="16"/>
                <w:lang w:eastAsia="fr-FR"/>
              </w:rPr>
              <w:t xml:space="preserve"> </w:t>
            </w:r>
            <w:r w:rsidR="0064052B" w:rsidRPr="00760930">
              <w:rPr>
                <w:rFonts w:ascii="Calibri" w:eastAsia="Times New Roman" w:hAnsi="Calibri" w:cs="Calibri"/>
                <w:color w:val="000000"/>
                <w:sz w:val="16"/>
                <w:szCs w:val="16"/>
                <w:lang w:eastAsia="fr-FR"/>
              </w:rPr>
              <w:t xml:space="preserve">décrit le processus de nomination des délégués des  industries  extractives  au Comité  Exécutif. De même, un </w:t>
            </w:r>
            <w:r w:rsidR="0064052B" w:rsidRPr="00760930">
              <w:rPr>
                <w:rFonts w:ascii="Calibri" w:eastAsia="Times New Roman" w:hAnsi="Calibri" w:cs="Calibri"/>
                <w:color w:val="000000"/>
                <w:sz w:val="16"/>
                <w:szCs w:val="16"/>
                <w:lang w:eastAsia="fr-FR"/>
              </w:rPr>
              <w:lastRenderedPageBreak/>
              <w:t>document</w:t>
            </w:r>
            <w:r w:rsidRPr="00760930">
              <w:rPr>
                <w:rStyle w:val="Appelnotedebasdep"/>
                <w:rFonts w:ascii="Calibri" w:eastAsia="Times New Roman" w:hAnsi="Calibri" w:cs="Calibri"/>
                <w:color w:val="0000FF"/>
                <w:sz w:val="16"/>
                <w:szCs w:val="16"/>
                <w:lang w:eastAsia="fr-FR"/>
              </w:rPr>
              <w:footnoteReference w:id="1"/>
            </w:r>
            <w:r w:rsidR="0064052B" w:rsidRPr="00760930">
              <w:rPr>
                <w:rFonts w:ascii="Calibri" w:eastAsia="Times New Roman" w:hAnsi="Calibri" w:cs="Calibri"/>
                <w:color w:val="000000"/>
                <w:sz w:val="16"/>
                <w:szCs w:val="16"/>
                <w:lang w:eastAsia="fr-FR"/>
              </w:rPr>
              <w:t xml:space="preserve">  précisant le processus de nomination signé par le porte-parole du Collège, Monsieur Simon </w:t>
            </w:r>
            <w:proofErr w:type="spellStart"/>
            <w:r w:rsidR="0064052B" w:rsidRPr="00760930">
              <w:rPr>
                <w:rFonts w:ascii="Calibri" w:eastAsia="Times New Roman" w:hAnsi="Calibri" w:cs="Calibri"/>
                <w:color w:val="000000"/>
                <w:sz w:val="16"/>
                <w:szCs w:val="16"/>
                <w:lang w:eastAsia="fr-FR"/>
              </w:rPr>
              <w:t>Tumawaku</w:t>
            </w:r>
            <w:proofErr w:type="spellEnd"/>
            <w:r w:rsidR="0064052B" w:rsidRPr="00760930">
              <w:rPr>
                <w:rFonts w:ascii="Calibri" w:eastAsia="Times New Roman" w:hAnsi="Calibri" w:cs="Calibri"/>
                <w:color w:val="000000"/>
                <w:sz w:val="16"/>
                <w:szCs w:val="16"/>
                <w:lang w:eastAsia="fr-FR"/>
              </w:rPr>
              <w:t>, est contenu dans la documentation collectée par le Secrétariat internationale. Le processus est aussi  consigné dans un  document posté sur le site web de l'ITIE -RDC qui  décrit  le processus d’élaboration de procédures pour la nomination et le remplacement des membres du Groupe multipartite</w:t>
            </w:r>
            <w:r w:rsidR="00A66994" w:rsidRPr="00760930">
              <w:rPr>
                <w:rStyle w:val="Appelnotedebasdep"/>
                <w:rFonts w:ascii="Calibri" w:eastAsia="Times New Roman" w:hAnsi="Calibri" w:cs="Calibri"/>
                <w:color w:val="0000FF"/>
                <w:sz w:val="16"/>
                <w:szCs w:val="16"/>
                <w:lang w:eastAsia="fr-FR"/>
              </w:rPr>
              <w:footnoteReference w:id="2"/>
            </w:r>
            <w:r w:rsidR="0064052B" w:rsidRPr="00760930">
              <w:rPr>
                <w:rFonts w:ascii="Calibri" w:eastAsia="Times New Roman" w:hAnsi="Calibri" w:cs="Calibri"/>
                <w:color w:val="0000FF"/>
                <w:sz w:val="16"/>
                <w:szCs w:val="16"/>
                <w:lang w:eastAsia="fr-FR"/>
              </w:rPr>
              <w:t xml:space="preserve"> </w:t>
            </w:r>
            <w:r w:rsidR="0064052B" w:rsidRPr="00760930">
              <w:rPr>
                <w:rFonts w:ascii="Calibri" w:eastAsia="Times New Roman" w:hAnsi="Calibri" w:cs="Calibri"/>
                <w:color w:val="000000"/>
                <w:sz w:val="16"/>
                <w:szCs w:val="16"/>
                <w:lang w:eastAsia="fr-FR"/>
              </w:rPr>
              <w:t xml:space="preserve"> </w:t>
            </w:r>
            <w:r w:rsidR="0064052B" w:rsidRPr="00760930">
              <w:rPr>
                <w:rFonts w:ascii="Calibri" w:eastAsia="Times New Roman" w:hAnsi="Calibri" w:cs="Calibri"/>
                <w:color w:val="000000"/>
                <w:sz w:val="16"/>
                <w:szCs w:val="16"/>
                <w:lang w:eastAsia="fr-FR"/>
              </w:rPr>
              <w:br/>
              <w:t xml:space="preserve">S'agissant de l'approbation publique des procédures  de nomination, le C.E  estime que la disposition est rencontrée au regard </w:t>
            </w:r>
            <w:r w:rsidR="0064052B" w:rsidRPr="00760930">
              <w:rPr>
                <w:rFonts w:ascii="Calibri" w:eastAsia="Times New Roman" w:hAnsi="Calibri" w:cs="Calibri"/>
                <w:sz w:val="16"/>
                <w:szCs w:val="16"/>
                <w:lang w:eastAsia="fr-FR"/>
              </w:rPr>
              <w:t xml:space="preserve">des Procès-verbaux / lettres de désignation </w:t>
            </w:r>
            <w:r w:rsidR="0064052B" w:rsidRPr="00760930">
              <w:rPr>
                <w:rFonts w:ascii="Calibri" w:eastAsia="Times New Roman" w:hAnsi="Calibri" w:cs="Calibri"/>
                <w:color w:val="000000"/>
                <w:sz w:val="16"/>
                <w:szCs w:val="16"/>
                <w:lang w:eastAsia="fr-FR"/>
              </w:rPr>
              <w:t>des membres rendus public et figurant dans la documentation fournie au SI</w:t>
            </w:r>
            <w:r w:rsidR="00A22206" w:rsidRPr="00760930">
              <w:rPr>
                <w:rFonts w:ascii="Calibri" w:eastAsia="Times New Roman" w:hAnsi="Calibri" w:cs="Calibri"/>
                <w:color w:val="000000"/>
                <w:sz w:val="16"/>
                <w:szCs w:val="16"/>
                <w:lang w:eastAsia="fr-FR"/>
              </w:rPr>
              <w:t>, qui pe</w:t>
            </w:r>
            <w:r w:rsidRPr="00760930">
              <w:rPr>
                <w:rFonts w:ascii="Calibri" w:eastAsia="Times New Roman" w:hAnsi="Calibri" w:cs="Calibri"/>
                <w:color w:val="000000"/>
                <w:sz w:val="16"/>
                <w:szCs w:val="16"/>
                <w:lang w:eastAsia="fr-FR"/>
              </w:rPr>
              <w:t>ut être consultée en suivant ce l</w:t>
            </w:r>
            <w:r w:rsidR="00A22206" w:rsidRPr="00760930">
              <w:rPr>
                <w:rFonts w:ascii="Calibri" w:eastAsia="Times New Roman" w:hAnsi="Calibri" w:cs="Calibri"/>
                <w:color w:val="000000"/>
                <w:sz w:val="16"/>
                <w:szCs w:val="16"/>
                <w:lang w:eastAsia="fr-FR"/>
              </w:rPr>
              <w:t>ien :</w:t>
            </w:r>
            <w:r w:rsidRPr="00760930">
              <w:rPr>
                <w:rFonts w:ascii="Calibri" w:eastAsia="Times New Roman" w:hAnsi="Calibri" w:cs="Calibri"/>
                <w:color w:val="000000"/>
                <w:sz w:val="16"/>
                <w:szCs w:val="16"/>
                <w:lang w:eastAsia="fr-FR"/>
              </w:rPr>
              <w:t xml:space="preserve"> </w:t>
            </w:r>
            <w:hyperlink r:id="rId8" w:history="1">
              <w:r w:rsidR="00A22206" w:rsidRPr="00760930">
                <w:rPr>
                  <w:rStyle w:val="Lienhypertexte"/>
                  <w:rFonts w:ascii="Calibri" w:eastAsia="Times New Roman" w:hAnsi="Calibri" w:cs="Calibri"/>
                  <w:sz w:val="16"/>
                  <w:szCs w:val="16"/>
                  <w:lang w:eastAsia="fr-FR"/>
                </w:rPr>
                <w:t>https://wp.me/P7ywo4-2en</w:t>
              </w:r>
            </w:hyperlink>
            <w:r w:rsidR="00A22206" w:rsidRPr="00760930">
              <w:rPr>
                <w:sz w:val="16"/>
                <w:szCs w:val="16"/>
              </w:rPr>
              <w:t xml:space="preserve"> </w:t>
            </w:r>
          </w:p>
          <w:p w:rsidR="008C2D39" w:rsidRPr="00760930" w:rsidRDefault="0064052B" w:rsidP="008C2D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6"/>
                <w:szCs w:val="6"/>
                <w:lang w:eastAsia="fr-FR"/>
              </w:rPr>
            </w:pPr>
            <w:r w:rsidRPr="00760930">
              <w:rPr>
                <w:rFonts w:ascii="Calibri" w:eastAsia="Times New Roman" w:hAnsi="Calibri" w:cs="Calibri"/>
                <w:b/>
                <w:bCs/>
                <w:color w:val="000000"/>
                <w:sz w:val="16"/>
                <w:szCs w:val="16"/>
                <w:lang w:eastAsia="fr-FR"/>
              </w:rPr>
              <w:t>2. Mise à jour des textes de gouvernance</w:t>
            </w:r>
            <w:r w:rsidRPr="00760930">
              <w:rPr>
                <w:rFonts w:ascii="Calibri" w:eastAsia="Times New Roman" w:hAnsi="Calibri" w:cs="Calibri"/>
                <w:color w:val="000000"/>
                <w:sz w:val="16"/>
                <w:szCs w:val="16"/>
                <w:lang w:eastAsia="fr-FR"/>
              </w:rPr>
              <w:br/>
              <w:t xml:space="preserve">Le Comité Exécutif souligne les efforts entrepris  pour actualiser les textes de gouvernance, notamment la mise en place de deux Commissions ad hoc : </w:t>
            </w:r>
            <w:r w:rsidRPr="00760930">
              <w:rPr>
                <w:rFonts w:ascii="Calibri" w:eastAsia="Times New Roman" w:hAnsi="Calibri" w:cs="Calibri"/>
                <w:color w:val="000066"/>
                <w:sz w:val="16"/>
                <w:szCs w:val="16"/>
                <w:lang w:eastAsia="fr-FR"/>
              </w:rPr>
              <w:t>la Commission Prof</w:t>
            </w:r>
            <w:r w:rsidR="00582FD7" w:rsidRPr="00760930">
              <w:rPr>
                <w:rFonts w:ascii="Calibri" w:eastAsia="Times New Roman" w:hAnsi="Calibri" w:cs="Calibri"/>
                <w:color w:val="000066"/>
                <w:sz w:val="16"/>
                <w:szCs w:val="16"/>
                <w:lang w:eastAsia="fr-FR"/>
              </w:rPr>
              <w:t>.</w:t>
            </w:r>
            <w:r w:rsidRPr="00760930">
              <w:rPr>
                <w:rFonts w:ascii="Calibri" w:eastAsia="Times New Roman" w:hAnsi="Calibri" w:cs="Calibri"/>
                <w:color w:val="000066"/>
                <w:sz w:val="16"/>
                <w:szCs w:val="16"/>
                <w:lang w:eastAsia="fr-FR"/>
              </w:rPr>
              <w:t xml:space="preserve"> Donat </w:t>
            </w:r>
            <w:proofErr w:type="spellStart"/>
            <w:r w:rsidRPr="00760930">
              <w:rPr>
                <w:rFonts w:ascii="Calibri" w:eastAsia="Times New Roman" w:hAnsi="Calibri" w:cs="Calibri"/>
                <w:color w:val="000066"/>
                <w:sz w:val="16"/>
                <w:szCs w:val="16"/>
                <w:lang w:eastAsia="fr-FR"/>
              </w:rPr>
              <w:t>Kampata</w:t>
            </w:r>
            <w:proofErr w:type="spellEnd"/>
            <w:r w:rsidRPr="00760930">
              <w:rPr>
                <w:rFonts w:ascii="Calibri" w:eastAsia="Times New Roman" w:hAnsi="Calibri" w:cs="Calibri"/>
                <w:color w:val="000066"/>
                <w:sz w:val="16"/>
                <w:szCs w:val="16"/>
                <w:lang w:eastAsia="fr-FR"/>
              </w:rPr>
              <w:t xml:space="preserve"> et la Commission </w:t>
            </w:r>
            <w:r w:rsidR="00B82F6D" w:rsidRPr="00760930">
              <w:rPr>
                <w:rFonts w:ascii="Calibri" w:eastAsia="Times New Roman" w:hAnsi="Calibri" w:cs="Calibri"/>
                <w:color w:val="000066"/>
                <w:sz w:val="16"/>
                <w:szCs w:val="16"/>
                <w:lang w:eastAsia="fr-FR"/>
              </w:rPr>
              <w:t xml:space="preserve">Firmin </w:t>
            </w:r>
            <w:proofErr w:type="spellStart"/>
            <w:r w:rsidR="00B82F6D" w:rsidRPr="00760930">
              <w:rPr>
                <w:rFonts w:ascii="Calibri" w:eastAsia="Times New Roman" w:hAnsi="Calibri" w:cs="Calibri"/>
                <w:color w:val="000066"/>
                <w:sz w:val="16"/>
                <w:szCs w:val="16"/>
                <w:lang w:eastAsia="fr-FR"/>
              </w:rPr>
              <w:t>Nkoto</w:t>
            </w:r>
            <w:proofErr w:type="spellEnd"/>
            <w:r w:rsidRPr="00760930">
              <w:rPr>
                <w:rFonts w:ascii="Calibri" w:eastAsia="Times New Roman" w:hAnsi="Calibri" w:cs="Calibri"/>
                <w:color w:val="000066"/>
                <w:sz w:val="16"/>
                <w:szCs w:val="16"/>
                <w:lang w:eastAsia="fr-FR"/>
              </w:rPr>
              <w:t xml:space="preserve">. </w:t>
            </w:r>
            <w:r w:rsidR="00A542BE" w:rsidRPr="00760930">
              <w:rPr>
                <w:rFonts w:ascii="Calibri" w:eastAsia="Times New Roman" w:hAnsi="Calibri" w:cs="Calibri"/>
                <w:color w:val="000066"/>
                <w:sz w:val="16"/>
                <w:szCs w:val="16"/>
                <w:lang w:eastAsia="fr-FR"/>
              </w:rPr>
              <w:t xml:space="preserve">Voir PV du </w:t>
            </w:r>
            <w:r w:rsidRPr="00760930">
              <w:rPr>
                <w:rFonts w:ascii="Calibri" w:eastAsia="Times New Roman" w:hAnsi="Calibri" w:cs="Calibri"/>
                <w:color w:val="000066"/>
                <w:sz w:val="16"/>
                <w:szCs w:val="16"/>
                <w:lang w:eastAsia="fr-FR"/>
              </w:rPr>
              <w:t>CE</w:t>
            </w:r>
            <w:r w:rsidR="00B82F6D" w:rsidRPr="00760930">
              <w:rPr>
                <w:rFonts w:ascii="Calibri" w:eastAsia="Times New Roman" w:hAnsi="Calibri" w:cs="Calibri"/>
                <w:color w:val="FF0000"/>
                <w:sz w:val="16"/>
                <w:szCs w:val="16"/>
                <w:lang w:eastAsia="fr-FR"/>
              </w:rPr>
              <w:t xml:space="preserve"> du …. </w:t>
            </w:r>
            <w:r w:rsidR="00B82F6D" w:rsidRPr="00760930">
              <w:rPr>
                <w:rFonts w:ascii="Calibri" w:eastAsia="Times New Roman" w:hAnsi="Calibri" w:cs="Calibri"/>
                <w:color w:val="000066"/>
                <w:sz w:val="16"/>
                <w:szCs w:val="16"/>
                <w:lang w:eastAsia="fr-FR"/>
              </w:rPr>
              <w:t>et</w:t>
            </w:r>
            <w:r w:rsidR="00B82F6D" w:rsidRPr="00760930">
              <w:rPr>
                <w:rFonts w:ascii="Calibri" w:eastAsia="Times New Roman" w:hAnsi="Calibri" w:cs="Calibri"/>
                <w:color w:val="FF0000"/>
                <w:sz w:val="16"/>
                <w:szCs w:val="16"/>
                <w:lang w:eastAsia="fr-FR"/>
              </w:rPr>
              <w:t xml:space="preserve"> </w:t>
            </w:r>
            <w:hyperlink r:id="rId9" w:history="1">
              <w:r w:rsidR="00B82F6D" w:rsidRPr="00760930">
                <w:rPr>
                  <w:rStyle w:val="Lienhypertexte"/>
                  <w:rFonts w:ascii="Calibri" w:eastAsia="Times New Roman" w:hAnsi="Calibri" w:cs="Calibri"/>
                  <w:sz w:val="16"/>
                  <w:szCs w:val="16"/>
                  <w:lang w:eastAsia="fr-FR"/>
                </w:rPr>
                <w:t>du 27/04/2016</w:t>
              </w:r>
            </w:hyperlink>
            <w:r w:rsidRPr="00760930">
              <w:rPr>
                <w:rFonts w:ascii="Calibri" w:eastAsia="Times New Roman" w:hAnsi="Calibri" w:cs="Calibri"/>
                <w:color w:val="000000"/>
                <w:sz w:val="16"/>
                <w:szCs w:val="16"/>
                <w:lang w:eastAsia="fr-FR"/>
              </w:rPr>
              <w:t>. Ces efforts entrepris par toutes les parties  prenantes ont abouti à l'adoption du projet de décret portant organisation et fonctionnement du Comité National de l'ITIE-RDC. Le C.E est cependant conscient que d'autres efforts restent à entreprendre pour obtenir la  publication du Décret par le Premier Ministre.</w:t>
            </w:r>
            <w:r w:rsidR="00582FD7" w:rsidRPr="00760930">
              <w:rPr>
                <w:rFonts w:ascii="Calibri" w:eastAsia="Times New Roman" w:hAnsi="Calibri" w:cs="Calibri"/>
                <w:color w:val="000000"/>
                <w:sz w:val="16"/>
                <w:szCs w:val="16"/>
                <w:lang w:eastAsia="fr-FR"/>
              </w:rPr>
              <w:t xml:space="preserve"> </w:t>
            </w:r>
            <w:r w:rsidRPr="00760930">
              <w:rPr>
                <w:rFonts w:ascii="Calibri" w:eastAsia="Times New Roman" w:hAnsi="Calibri" w:cs="Calibri"/>
                <w:color w:val="000000"/>
                <w:sz w:val="16"/>
                <w:szCs w:val="16"/>
                <w:lang w:eastAsia="fr-FR"/>
              </w:rPr>
              <w:br/>
              <w:t xml:space="preserve">3. </w:t>
            </w:r>
            <w:r w:rsidRPr="00760930">
              <w:rPr>
                <w:rFonts w:ascii="Calibri" w:eastAsia="Times New Roman" w:hAnsi="Calibri" w:cs="Calibri"/>
                <w:b/>
                <w:bCs/>
                <w:color w:val="000000"/>
                <w:sz w:val="16"/>
                <w:szCs w:val="16"/>
                <w:lang w:eastAsia="fr-FR"/>
              </w:rPr>
              <w:t xml:space="preserve">Composition du GMP </w:t>
            </w:r>
            <w:r w:rsidRPr="00760930">
              <w:rPr>
                <w:rFonts w:ascii="Calibri" w:eastAsia="Times New Roman" w:hAnsi="Calibri" w:cs="Calibri"/>
                <w:color w:val="000000"/>
                <w:sz w:val="16"/>
                <w:szCs w:val="16"/>
                <w:lang w:eastAsia="fr-FR"/>
              </w:rPr>
              <w:t>: Pas d'objection.</w:t>
            </w:r>
            <w:r w:rsidRPr="00760930">
              <w:rPr>
                <w:rFonts w:ascii="Calibri" w:eastAsia="Times New Roman" w:hAnsi="Calibri" w:cs="Calibri"/>
                <w:color w:val="000000"/>
                <w:sz w:val="16"/>
                <w:szCs w:val="16"/>
                <w:lang w:eastAsia="fr-FR"/>
              </w:rPr>
              <w:br/>
              <w:t>4.</w:t>
            </w:r>
            <w:r w:rsidRPr="00760930">
              <w:rPr>
                <w:rFonts w:ascii="Calibri" w:eastAsia="Times New Roman" w:hAnsi="Calibri" w:cs="Calibri"/>
                <w:b/>
                <w:bCs/>
                <w:color w:val="000000"/>
                <w:sz w:val="16"/>
                <w:szCs w:val="16"/>
                <w:lang w:eastAsia="fr-FR"/>
              </w:rPr>
              <w:t xml:space="preserve"> Conflits d'intérêts</w:t>
            </w:r>
            <w:r w:rsidRPr="00760930">
              <w:rPr>
                <w:rFonts w:ascii="Calibri" w:eastAsia="Times New Roman" w:hAnsi="Calibri" w:cs="Calibri"/>
                <w:b/>
                <w:bCs/>
                <w:color w:val="000000"/>
                <w:sz w:val="16"/>
                <w:szCs w:val="16"/>
                <w:lang w:eastAsia="fr-FR"/>
              </w:rPr>
              <w:br/>
            </w:r>
            <w:r w:rsidRPr="00760930">
              <w:rPr>
                <w:rFonts w:ascii="Calibri" w:eastAsia="Times New Roman" w:hAnsi="Calibri" w:cs="Calibri"/>
                <w:color w:val="000000"/>
                <w:sz w:val="16"/>
                <w:szCs w:val="16"/>
                <w:lang w:eastAsia="fr-FR"/>
              </w:rPr>
              <w:t xml:space="preserve">Il est vrai que les TDR du Comité Exécutif en vigueur ne prévoient pas expressément ce cas, mais en vertu de la législation nationale, tout agent public de l'Etat est soumis au Code de conduite de l'agent public de l'Etat </w:t>
            </w:r>
            <w:r w:rsidRPr="00760930">
              <w:rPr>
                <w:rFonts w:ascii="Calibri" w:eastAsia="Times New Roman" w:hAnsi="Calibri" w:cs="Calibri"/>
                <w:color w:val="000066"/>
                <w:sz w:val="16"/>
                <w:szCs w:val="16"/>
                <w:lang w:eastAsia="fr-FR"/>
              </w:rPr>
              <w:t>(Décret-Loi n°017/2002 du 3 octobre 2002)</w:t>
            </w:r>
            <w:r w:rsidRPr="00760930">
              <w:rPr>
                <w:rFonts w:ascii="Calibri" w:eastAsia="Times New Roman" w:hAnsi="Calibri" w:cs="Calibri"/>
                <w:color w:val="000000"/>
                <w:sz w:val="16"/>
                <w:szCs w:val="16"/>
                <w:lang w:eastAsia="fr-FR"/>
              </w:rPr>
              <w:t>. Bien plus, au nombre d'instruments juridiques qui régissent l'ITIE-RDC figure aussi la Norme ITIE, et l'article 9 du Code de conduite de l'Association ITIE proscrit les conflits d'intérêts. Par ailleurs, le projet de décret modificatif, en son article 24, astreint tous les membres de l'ITIE à l'observance simultanée de l'Éthique, du Code de bonne conduite précité et du Code de conduite de l'agent public de l'Etat.</w:t>
            </w:r>
            <w:r w:rsidRPr="00760930">
              <w:rPr>
                <w:rFonts w:ascii="Calibri" w:eastAsia="Times New Roman" w:hAnsi="Calibri" w:cs="Calibri"/>
                <w:b/>
                <w:bCs/>
                <w:color w:val="000000"/>
                <w:sz w:val="16"/>
                <w:szCs w:val="16"/>
                <w:lang w:eastAsia="fr-FR"/>
              </w:rPr>
              <w:t xml:space="preserve"> </w:t>
            </w:r>
            <w:r w:rsidRPr="00760930">
              <w:rPr>
                <w:rFonts w:ascii="Calibri" w:eastAsia="Times New Roman" w:hAnsi="Calibri" w:cs="Calibri"/>
                <w:b/>
                <w:bCs/>
                <w:color w:val="000000"/>
                <w:sz w:val="16"/>
                <w:szCs w:val="16"/>
                <w:lang w:eastAsia="fr-FR"/>
              </w:rPr>
              <w:br/>
              <w:t>5. Clarification de la pratique des indemnités journalières</w:t>
            </w:r>
            <w:r w:rsidRPr="00760930">
              <w:rPr>
                <w:rFonts w:ascii="Calibri" w:eastAsia="Times New Roman" w:hAnsi="Calibri" w:cs="Calibri"/>
                <w:b/>
                <w:bCs/>
                <w:color w:val="000000"/>
                <w:sz w:val="16"/>
                <w:szCs w:val="16"/>
                <w:lang w:eastAsia="fr-FR"/>
              </w:rPr>
              <w:br/>
            </w:r>
            <w:r w:rsidRPr="00760930">
              <w:rPr>
                <w:rFonts w:ascii="Calibri" w:eastAsia="Times New Roman" w:hAnsi="Calibri" w:cs="Calibri"/>
                <w:color w:val="000000"/>
                <w:sz w:val="16"/>
                <w:szCs w:val="16"/>
                <w:lang w:eastAsia="fr-FR"/>
              </w:rPr>
              <w:t xml:space="preserve">En vue de se mettre en règle avec la Norme 2013, le Comité Exécutif a abordé et clarifié la question de jetons de présence alloués aux membres du GMP. L'essentiel des discussions et des délibérations du C.E est </w:t>
            </w:r>
            <w:r w:rsidRPr="00760930">
              <w:rPr>
                <w:rFonts w:ascii="Calibri" w:eastAsia="Times New Roman" w:hAnsi="Calibri" w:cs="Calibri"/>
                <w:color w:val="000000"/>
                <w:sz w:val="16"/>
                <w:szCs w:val="16"/>
                <w:lang w:eastAsia="fr-FR"/>
              </w:rPr>
              <w:lastRenderedPageBreak/>
              <w:t xml:space="preserve">consigné dans </w:t>
            </w:r>
            <w:hyperlink r:id="rId10" w:history="1">
              <w:r w:rsidRPr="00760930">
                <w:rPr>
                  <w:rStyle w:val="Lienhypertexte"/>
                  <w:rFonts w:ascii="Calibri" w:eastAsia="Times New Roman" w:hAnsi="Calibri" w:cs="Calibri"/>
                  <w:sz w:val="16"/>
                  <w:szCs w:val="16"/>
                  <w:lang w:eastAsia="fr-FR"/>
                </w:rPr>
                <w:t>les PV</w:t>
              </w:r>
              <w:r w:rsidR="008C2D39" w:rsidRPr="00760930">
                <w:rPr>
                  <w:rStyle w:val="Lienhypertexte"/>
                  <w:rFonts w:ascii="Calibri" w:eastAsia="Times New Roman" w:hAnsi="Calibri" w:cs="Calibri"/>
                  <w:sz w:val="16"/>
                  <w:szCs w:val="16"/>
                  <w:lang w:eastAsia="fr-FR"/>
                </w:rPr>
                <w:t xml:space="preserve"> du 15 janvier et 05 mars 2014</w:t>
              </w:r>
            </w:hyperlink>
            <w:r w:rsidR="008C2D39" w:rsidRPr="00760930">
              <w:rPr>
                <w:rStyle w:val="Appelnotedebasdep"/>
                <w:rFonts w:ascii="Calibri" w:eastAsia="Times New Roman" w:hAnsi="Calibri" w:cs="Calibri"/>
                <w:color w:val="0000FF"/>
                <w:sz w:val="16"/>
                <w:szCs w:val="16"/>
                <w:lang w:eastAsia="fr-FR"/>
              </w:rPr>
              <w:footnoteReference w:id="3"/>
            </w:r>
            <w:r w:rsidRPr="00760930">
              <w:rPr>
                <w:rFonts w:ascii="Calibri" w:eastAsia="Times New Roman" w:hAnsi="Calibri" w:cs="Calibri"/>
                <w:color w:val="000000"/>
                <w:sz w:val="16"/>
                <w:szCs w:val="16"/>
                <w:lang w:eastAsia="fr-FR"/>
              </w:rPr>
              <w:t>. C</w:t>
            </w:r>
            <w:r w:rsidR="008C2D39" w:rsidRPr="00760930">
              <w:rPr>
                <w:rFonts w:ascii="Calibri" w:eastAsia="Times New Roman" w:hAnsi="Calibri" w:cs="Calibri"/>
                <w:color w:val="000000"/>
                <w:sz w:val="16"/>
                <w:szCs w:val="16"/>
                <w:lang w:eastAsia="fr-FR"/>
              </w:rPr>
              <w:t>onformément au</w:t>
            </w:r>
            <w:r w:rsidR="003F1947" w:rsidRPr="00760930">
              <w:rPr>
                <w:rFonts w:ascii="Calibri" w:eastAsia="Times New Roman" w:hAnsi="Calibri" w:cs="Calibri"/>
                <w:color w:val="000000"/>
                <w:sz w:val="16"/>
                <w:szCs w:val="16"/>
                <w:lang w:eastAsia="fr-FR"/>
              </w:rPr>
              <w:t>x</w:t>
            </w:r>
            <w:r w:rsidR="008C2D39" w:rsidRPr="00760930">
              <w:rPr>
                <w:rFonts w:ascii="Calibri" w:eastAsia="Times New Roman" w:hAnsi="Calibri" w:cs="Calibri"/>
                <w:color w:val="000000"/>
                <w:sz w:val="16"/>
                <w:szCs w:val="16"/>
                <w:lang w:eastAsia="fr-FR"/>
              </w:rPr>
              <w:t>dit</w:t>
            </w:r>
            <w:r w:rsidR="003F1947" w:rsidRPr="00760930">
              <w:rPr>
                <w:rFonts w:ascii="Calibri" w:eastAsia="Times New Roman" w:hAnsi="Calibri" w:cs="Calibri"/>
                <w:color w:val="000000"/>
                <w:sz w:val="16"/>
                <w:szCs w:val="16"/>
                <w:lang w:eastAsia="fr-FR"/>
              </w:rPr>
              <w:t>s</w:t>
            </w:r>
            <w:r w:rsidR="008C2D39" w:rsidRPr="00760930">
              <w:rPr>
                <w:rFonts w:ascii="Calibri" w:eastAsia="Times New Roman" w:hAnsi="Calibri" w:cs="Calibri"/>
                <w:color w:val="000000"/>
                <w:sz w:val="16"/>
                <w:szCs w:val="16"/>
                <w:lang w:eastAsia="fr-FR"/>
              </w:rPr>
              <w:t xml:space="preserve"> PV</w:t>
            </w:r>
            <w:r w:rsidR="003F1947" w:rsidRPr="00760930">
              <w:rPr>
                <w:rFonts w:ascii="Calibri" w:eastAsia="Times New Roman" w:hAnsi="Calibri" w:cs="Calibri"/>
                <w:color w:val="000000"/>
                <w:sz w:val="16"/>
                <w:szCs w:val="16"/>
                <w:lang w:eastAsia="fr-FR"/>
              </w:rPr>
              <w:t xml:space="preserve"> et au</w:t>
            </w:r>
            <w:hyperlink r:id="rId11" w:history="1">
              <w:r w:rsidR="003F1947" w:rsidRPr="00760930">
                <w:rPr>
                  <w:rStyle w:val="Lienhypertexte"/>
                  <w:rFonts w:ascii="Calibri" w:eastAsia="Times New Roman" w:hAnsi="Calibri" w:cs="Calibri"/>
                  <w:sz w:val="16"/>
                  <w:szCs w:val="16"/>
                  <w:lang w:eastAsia="fr-FR"/>
                </w:rPr>
                <w:t xml:space="preserve"> PV du 1</w:t>
              </w:r>
              <w:r w:rsidR="003F1947" w:rsidRPr="00760930">
                <w:rPr>
                  <w:rStyle w:val="Lienhypertexte"/>
                  <w:rFonts w:ascii="Calibri" w:eastAsia="Times New Roman" w:hAnsi="Calibri" w:cs="Calibri"/>
                  <w:sz w:val="16"/>
                  <w:szCs w:val="16"/>
                  <w:vertAlign w:val="superscript"/>
                  <w:lang w:eastAsia="fr-FR"/>
                </w:rPr>
                <w:t>er</w:t>
              </w:r>
              <w:r w:rsidR="003F1947" w:rsidRPr="00760930">
                <w:rPr>
                  <w:rStyle w:val="Lienhypertexte"/>
                  <w:rFonts w:ascii="Calibri" w:eastAsia="Times New Roman" w:hAnsi="Calibri" w:cs="Calibri"/>
                  <w:sz w:val="16"/>
                  <w:szCs w:val="16"/>
                  <w:lang w:eastAsia="fr-FR"/>
                </w:rPr>
                <w:t>/03/2017</w:t>
              </w:r>
            </w:hyperlink>
            <w:r w:rsidR="003F1947" w:rsidRPr="00760930">
              <w:rPr>
                <w:rStyle w:val="Appelnotedebasdep"/>
                <w:rFonts w:ascii="Calibri" w:eastAsia="Times New Roman" w:hAnsi="Calibri" w:cs="Calibri"/>
                <w:color w:val="000000"/>
                <w:sz w:val="16"/>
                <w:szCs w:val="16"/>
                <w:lang w:eastAsia="fr-FR"/>
              </w:rPr>
              <w:footnoteReference w:id="4"/>
            </w:r>
            <w:r w:rsidR="003F1947" w:rsidRPr="00760930">
              <w:rPr>
                <w:rFonts w:ascii="Calibri" w:eastAsia="Times New Roman" w:hAnsi="Calibri" w:cs="Calibri"/>
                <w:color w:val="000000"/>
                <w:sz w:val="16"/>
                <w:szCs w:val="16"/>
                <w:lang w:eastAsia="fr-FR"/>
              </w:rPr>
              <w:t>,</w:t>
            </w:r>
            <w:r w:rsidR="008C2D39" w:rsidRPr="00760930">
              <w:rPr>
                <w:rFonts w:ascii="Calibri" w:eastAsia="Times New Roman" w:hAnsi="Calibri" w:cs="Calibri"/>
                <w:color w:val="000000"/>
                <w:sz w:val="16"/>
                <w:szCs w:val="16"/>
                <w:lang w:eastAsia="fr-FR"/>
              </w:rPr>
              <w:t xml:space="preserve"> </w:t>
            </w:r>
            <w:r w:rsidRPr="00760930">
              <w:rPr>
                <w:rFonts w:ascii="Calibri" w:eastAsia="Times New Roman" w:hAnsi="Calibri" w:cs="Calibri"/>
                <w:color w:val="000000"/>
                <w:sz w:val="16"/>
                <w:szCs w:val="16"/>
                <w:lang w:eastAsia="fr-FR"/>
              </w:rPr>
              <w:t>la hauteur des indemnités de présence par nature de réunion</w:t>
            </w:r>
            <w:r w:rsidR="008C2D39" w:rsidRPr="00760930">
              <w:rPr>
                <w:rFonts w:ascii="Calibri" w:eastAsia="Times New Roman" w:hAnsi="Calibri" w:cs="Calibri"/>
                <w:color w:val="000000"/>
                <w:sz w:val="16"/>
                <w:szCs w:val="16"/>
                <w:lang w:eastAsia="fr-FR"/>
              </w:rPr>
              <w:t xml:space="preserve"> a été fixée de la manière suivante : 300 $US pour les réunions ordinaires du C.E, 100 $US pour les réunions extraordinaires du C.E et 50 $US pour les travaux des Commissions ad hoc et Groupes de travail</w:t>
            </w:r>
            <w:r w:rsidRPr="00760930">
              <w:rPr>
                <w:rFonts w:ascii="Calibri" w:eastAsia="Times New Roman" w:hAnsi="Calibri" w:cs="Calibri"/>
                <w:color w:val="000000"/>
                <w:sz w:val="16"/>
                <w:szCs w:val="16"/>
                <w:lang w:eastAsia="fr-FR"/>
              </w:rPr>
              <w:t xml:space="preserve">. En conséquence, l'affirmation selon laquelle il y a manque de clarté devrait être </w:t>
            </w:r>
            <w:r w:rsidR="00A542BE" w:rsidRPr="00760930">
              <w:rPr>
                <w:rFonts w:ascii="Calibri" w:eastAsia="Times New Roman" w:hAnsi="Calibri" w:cs="Calibri"/>
                <w:color w:val="000000"/>
                <w:sz w:val="16"/>
                <w:szCs w:val="16"/>
                <w:lang w:eastAsia="fr-FR"/>
              </w:rPr>
              <w:t>atténuée</w:t>
            </w:r>
            <w:r w:rsidRPr="00760930">
              <w:rPr>
                <w:rFonts w:ascii="Calibri" w:eastAsia="Times New Roman" w:hAnsi="Calibri" w:cs="Calibri"/>
                <w:color w:val="000000"/>
                <w:sz w:val="16"/>
                <w:szCs w:val="16"/>
                <w:lang w:eastAsia="fr-FR"/>
              </w:rPr>
              <w:t xml:space="preserve">. </w:t>
            </w:r>
            <w:r w:rsidRPr="00760930">
              <w:rPr>
                <w:rFonts w:ascii="Calibri" w:eastAsia="Times New Roman" w:hAnsi="Calibri" w:cs="Calibri"/>
                <w:color w:val="000000"/>
                <w:sz w:val="16"/>
                <w:szCs w:val="16"/>
                <w:lang w:eastAsia="fr-FR"/>
              </w:rPr>
              <w:br/>
              <w:t xml:space="preserve">Il serait aussi indiqué que le Validateur fournisse des clarifications sur l'importance relative des aspects d'une exigence de la Norme pour que nous sachions quels sont les aspects plus importants et quels sont les aspects moins importants dans la mise en </w:t>
            </w:r>
            <w:r w:rsidR="00A542BE" w:rsidRPr="00760930">
              <w:rPr>
                <w:rFonts w:ascii="Calibri" w:eastAsia="Times New Roman" w:hAnsi="Calibri" w:cs="Calibri"/>
                <w:color w:val="000000"/>
                <w:sz w:val="16"/>
                <w:szCs w:val="16"/>
                <w:lang w:eastAsia="fr-FR"/>
              </w:rPr>
              <w:t>œuvre</w:t>
            </w:r>
            <w:r w:rsidR="008C2D39" w:rsidRPr="00760930">
              <w:rPr>
                <w:rFonts w:ascii="Calibri" w:eastAsia="Times New Roman" w:hAnsi="Calibri" w:cs="Calibri"/>
                <w:color w:val="000000"/>
                <w:sz w:val="16"/>
                <w:szCs w:val="16"/>
                <w:lang w:eastAsia="fr-FR"/>
              </w:rPr>
              <w:t xml:space="preserve"> des exigences ITIE.</w:t>
            </w:r>
            <w:r w:rsidRPr="00760930">
              <w:rPr>
                <w:rFonts w:ascii="Calibri" w:eastAsia="Times New Roman" w:hAnsi="Calibri" w:cs="Calibri"/>
                <w:color w:val="000000"/>
                <w:sz w:val="16"/>
                <w:szCs w:val="16"/>
                <w:lang w:eastAsia="fr-FR"/>
              </w:rPr>
              <w:br/>
            </w:r>
          </w:p>
          <w:p w:rsidR="0064052B" w:rsidRPr="00760930" w:rsidRDefault="0064052B" w:rsidP="008C2D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 Comité considère que la résolution de la crise de gouvernance intervenue entre 2016 et 2017  est un aspect de loin important qui a permis de sauver le processus en péril. Ainsi, en  </w:t>
            </w:r>
            <w:r w:rsidR="00A542BE" w:rsidRPr="00760930">
              <w:rPr>
                <w:rFonts w:ascii="Calibri" w:eastAsia="Times New Roman" w:hAnsi="Calibri" w:cs="Calibri"/>
                <w:color w:val="000000"/>
                <w:sz w:val="16"/>
                <w:szCs w:val="16"/>
                <w:lang w:eastAsia="fr-FR"/>
              </w:rPr>
              <w:t>conjugaison</w:t>
            </w:r>
            <w:r w:rsidRPr="00760930">
              <w:rPr>
                <w:rFonts w:ascii="Calibri" w:eastAsia="Times New Roman" w:hAnsi="Calibri" w:cs="Calibri"/>
                <w:color w:val="000000"/>
                <w:sz w:val="16"/>
                <w:szCs w:val="16"/>
                <w:lang w:eastAsia="fr-FR"/>
              </w:rPr>
              <w:t xml:space="preserve"> avec les réponses apportées ci- dessus, il serait judicieux que le niveau de progrès pour la disposition 1.4 soit plutôt </w:t>
            </w:r>
            <w:r w:rsidRPr="00760930">
              <w:rPr>
                <w:rFonts w:ascii="Calibri" w:eastAsia="Times New Roman" w:hAnsi="Calibri" w:cs="Calibri"/>
                <w:b/>
                <w:bCs/>
                <w:color w:val="000000"/>
                <w:sz w:val="16"/>
                <w:szCs w:val="16"/>
                <w:lang w:eastAsia="fr-FR"/>
              </w:rPr>
              <w:t>significatif</w:t>
            </w:r>
            <w:r w:rsidRPr="00760930">
              <w:rPr>
                <w:rFonts w:ascii="Calibri" w:eastAsia="Times New Roman" w:hAnsi="Calibri" w:cs="Calibri"/>
                <w:color w:val="000000"/>
                <w:sz w:val="16"/>
                <w:szCs w:val="16"/>
                <w:lang w:eastAsia="fr-FR"/>
              </w:rPr>
              <w:t xml:space="preserve"> puisque bien d'aspects ont </w:t>
            </w:r>
            <w:r w:rsidR="00A542BE" w:rsidRPr="00760930">
              <w:rPr>
                <w:rFonts w:ascii="Calibri" w:eastAsia="Times New Roman" w:hAnsi="Calibri" w:cs="Calibri"/>
                <w:color w:val="000000"/>
                <w:sz w:val="16"/>
                <w:szCs w:val="16"/>
                <w:lang w:eastAsia="fr-FR"/>
              </w:rPr>
              <w:t>effectivement</w:t>
            </w:r>
            <w:r w:rsidRPr="00760930">
              <w:rPr>
                <w:rFonts w:ascii="Calibri" w:eastAsia="Times New Roman" w:hAnsi="Calibri" w:cs="Calibri"/>
                <w:color w:val="000000"/>
                <w:sz w:val="16"/>
                <w:szCs w:val="16"/>
                <w:lang w:eastAsia="fr-FR"/>
              </w:rPr>
              <w:t xml:space="preserve"> été mis en </w:t>
            </w:r>
            <w:r w:rsidR="00A542BE" w:rsidRPr="00760930">
              <w:rPr>
                <w:rFonts w:ascii="Calibri" w:eastAsia="Times New Roman" w:hAnsi="Calibri" w:cs="Calibri"/>
                <w:color w:val="000000"/>
                <w:sz w:val="16"/>
                <w:szCs w:val="16"/>
                <w:lang w:eastAsia="fr-FR"/>
              </w:rPr>
              <w:t>œuvre</w:t>
            </w:r>
            <w:r w:rsidRPr="00760930">
              <w:rPr>
                <w:rFonts w:ascii="Calibri" w:eastAsia="Times New Roman" w:hAnsi="Calibri" w:cs="Calibri"/>
                <w:color w:val="000000"/>
                <w:sz w:val="16"/>
                <w:szCs w:val="16"/>
                <w:lang w:eastAsia="fr-FR"/>
              </w:rPr>
              <w:t xml:space="preserve">  et l'attention doit se focaliser désormais sur quelques aspects à mettre en œuvre pour accomplir pleinement cette exigence.</w:t>
            </w:r>
          </w:p>
        </w:tc>
        <w:tc>
          <w:tcPr>
            <w:tcW w:w="977" w:type="dxa"/>
            <w:hideMark/>
          </w:tcPr>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B0F0"/>
                <w:sz w:val="16"/>
                <w:szCs w:val="16"/>
                <w:lang w:eastAsia="fr-FR"/>
              </w:rPr>
            </w:pPr>
            <w:r w:rsidRPr="00760930">
              <w:rPr>
                <w:rFonts w:ascii="Calibri" w:eastAsia="Times New Roman" w:hAnsi="Calibri" w:cs="Calibri"/>
                <w:b/>
                <w:bCs/>
                <w:color w:val="0000FF"/>
                <w:sz w:val="16"/>
                <w:szCs w:val="16"/>
                <w:lang w:eastAsia="fr-FR"/>
              </w:rPr>
              <w:lastRenderedPageBreak/>
              <w:t>Progrès  significatif</w:t>
            </w:r>
          </w:p>
        </w:tc>
      </w:tr>
      <w:tr w:rsidR="00A542BE" w:rsidRPr="00760930" w:rsidTr="00966F60">
        <w:trPr>
          <w:trHeight w:val="1460"/>
        </w:trPr>
        <w:tc>
          <w:tcPr>
            <w:cnfStyle w:val="001000000000" w:firstRow="0" w:lastRow="0" w:firstColumn="1" w:lastColumn="0" w:oddVBand="0" w:evenVBand="0" w:oddHBand="0" w:evenHBand="0" w:firstRowFirstColumn="0" w:firstRowLastColumn="0" w:lastRowFirstColumn="0" w:lastRowLastColumn="0"/>
            <w:tcW w:w="1165" w:type="dxa"/>
            <w:hideMark/>
          </w:tcPr>
          <w:p w:rsidR="0064052B" w:rsidRPr="00760930" w:rsidRDefault="0064052B" w:rsidP="00A22206">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lastRenderedPageBreak/>
              <w:t>Octroi des licences (2.2)</w:t>
            </w:r>
          </w:p>
        </w:tc>
        <w:tc>
          <w:tcPr>
            <w:tcW w:w="2716" w:type="dxa"/>
            <w:hideMark/>
          </w:tcPr>
          <w:p w:rsidR="00C71FC9"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00"/>
                <w:sz w:val="16"/>
                <w:szCs w:val="16"/>
                <w:lang w:eastAsia="fr-FR"/>
              </w:rPr>
              <w:t>De la divulgation des critères financiers et techniques</w:t>
            </w:r>
            <w:r w:rsidRPr="00760930">
              <w:rPr>
                <w:rFonts w:ascii="Calibri" w:eastAsia="Times New Roman" w:hAnsi="Calibri" w:cs="Calibri"/>
                <w:color w:val="000000"/>
                <w:sz w:val="16"/>
                <w:szCs w:val="16"/>
                <w:lang w:eastAsia="fr-FR"/>
              </w:rPr>
              <w:br w:type="page"/>
              <w:t xml:space="preserve">Le Rapport ITIE 2015 abordait d’importants aspects de l’Exigence, sans toutefois préciser les critères techniques et financiers appliqués dans le secteur pétrolier. Le Rapport contextuel ITIE 2016 présentait une description du processus statutaire d’octroi ou de transfert des licences, en se focalisant en particulier sur le secteur minier, y compris les critères techniques et financiers. Il fournit des informations sur les licences octroyées ou transférées en 2016 et en 2017. </w:t>
            </w:r>
            <w:r w:rsidRPr="00760930">
              <w:rPr>
                <w:rFonts w:ascii="Calibri" w:eastAsia="Times New Roman" w:hAnsi="Calibri" w:cs="Calibri"/>
                <w:color w:val="000000"/>
                <w:sz w:val="16"/>
                <w:szCs w:val="16"/>
                <w:lang w:eastAsia="fr-FR"/>
              </w:rPr>
              <w:br w:type="page"/>
            </w:r>
          </w:p>
          <w:p w:rsidR="00C71FC9"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00"/>
                <w:sz w:val="16"/>
                <w:szCs w:val="16"/>
                <w:lang w:eastAsia="fr-FR"/>
              </w:rPr>
              <w:t>De l'exhaustivité</w:t>
            </w:r>
            <w:r w:rsidRPr="00760930">
              <w:rPr>
                <w:rFonts w:ascii="Calibri" w:eastAsia="Times New Roman" w:hAnsi="Calibri" w:cs="Calibri"/>
                <w:color w:val="000000"/>
                <w:sz w:val="16"/>
                <w:szCs w:val="16"/>
                <w:lang w:eastAsia="fr-FR"/>
              </w:rPr>
              <w:br w:type="page"/>
            </w:r>
          </w:p>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Toutefois, des inquiétudes ont été soulevées lors du rapportage et dans les avis des parties prenantes quant à l’exhaustivité des divulgations portant sur les écarts non négligeables dans le cadre légal et réglementaire en vigueur.</w:t>
            </w:r>
          </w:p>
        </w:tc>
        <w:tc>
          <w:tcPr>
            <w:tcW w:w="1004" w:type="dxa"/>
            <w:hideMark/>
          </w:tcPr>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 Validateur a approuvé les conclusions du SI ainsi que le niveau de </w:t>
            </w:r>
            <w:r w:rsidRPr="007F7F67">
              <w:rPr>
                <w:rFonts w:ascii="Calibri" w:eastAsia="Times New Roman" w:hAnsi="Calibri" w:cs="Calibri"/>
                <w:b/>
                <w:color w:val="FF0000"/>
                <w:sz w:val="16"/>
                <w:szCs w:val="16"/>
                <w:lang w:eastAsia="fr-FR"/>
              </w:rPr>
              <w:t>progrès significatif</w:t>
            </w:r>
            <w:r w:rsidRPr="007F7F67">
              <w:rPr>
                <w:rFonts w:ascii="Calibri" w:eastAsia="Times New Roman" w:hAnsi="Calibri" w:cs="Calibri"/>
                <w:color w:val="FF0000"/>
                <w:sz w:val="16"/>
                <w:szCs w:val="16"/>
                <w:lang w:eastAsia="fr-FR"/>
              </w:rPr>
              <w:t xml:space="preserve"> </w:t>
            </w:r>
            <w:r w:rsidRPr="00760930">
              <w:rPr>
                <w:rFonts w:ascii="Calibri" w:eastAsia="Times New Roman" w:hAnsi="Calibri" w:cs="Calibri"/>
                <w:color w:val="000000"/>
                <w:sz w:val="16"/>
                <w:szCs w:val="16"/>
                <w:lang w:eastAsia="fr-FR"/>
              </w:rPr>
              <w:br w:type="page"/>
            </w:r>
          </w:p>
        </w:tc>
        <w:tc>
          <w:tcPr>
            <w:tcW w:w="2072" w:type="dxa"/>
            <w:hideMark/>
          </w:tcPr>
          <w:p w:rsidR="00F207D0" w:rsidRDefault="00F207D0"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Pr>
                <w:rFonts w:ascii="Calibri" w:eastAsia="Times New Roman" w:hAnsi="Calibri" w:cs="Calibri"/>
                <w:color w:val="000000"/>
                <w:sz w:val="16"/>
                <w:szCs w:val="16"/>
                <w:lang w:eastAsia="fr-FR"/>
              </w:rPr>
              <w:t>Conformément à l’Exigence 2.2 :</w:t>
            </w:r>
          </w:p>
          <w:p w:rsidR="00F207D0" w:rsidRDefault="0064052B" w:rsidP="00F207D0">
            <w:pPr>
              <w:pStyle w:val="Paragraphedeliste"/>
              <w:numPr>
                <w:ilvl w:val="0"/>
                <w:numId w:val="8"/>
              </w:numPr>
              <w:tabs>
                <w:tab w:val="left" w:pos="19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la RDC est tenue de divulguer publiquement des informations sur les licences octroyées et transférées, y compris tout écart non négligeable par rapport au cadre légal et réglementaire applicable et aux critères techniques et financiers détaillés qui ont été évalués. </w:t>
            </w:r>
          </w:p>
          <w:p w:rsidR="00F207D0" w:rsidRDefault="0064052B" w:rsidP="00F207D0">
            <w:pPr>
              <w:pStyle w:val="Paragraphedeliste"/>
              <w:numPr>
                <w:ilvl w:val="0"/>
                <w:numId w:val="8"/>
              </w:numPr>
              <w:tabs>
                <w:tab w:val="left" w:pos="19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La RDC est encouragée à veiller à ce que l’ITIE travaille en étroite collaboration avec les ministères concernés pour divulguer également des informations sur les demandes en attente. </w:t>
            </w:r>
          </w:p>
          <w:p w:rsidR="0064052B" w:rsidRPr="00760930" w:rsidRDefault="0064052B" w:rsidP="00F207D0">
            <w:pPr>
              <w:pStyle w:val="Paragraphedeliste"/>
              <w:numPr>
                <w:ilvl w:val="0"/>
                <w:numId w:val="8"/>
              </w:numPr>
              <w:tabs>
                <w:tab w:val="left" w:pos="19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Dans le cas d’appels d’offres, la RDC est tenue de divulguer les critères de soumission et la liste complète des soumissionnaires, et le pays est encouragé à documenter les résultats du processus.</w:t>
            </w:r>
          </w:p>
        </w:tc>
        <w:tc>
          <w:tcPr>
            <w:tcW w:w="1617" w:type="dxa"/>
            <w:hideMark/>
          </w:tcPr>
          <w:p w:rsidR="0064052B" w:rsidRPr="00760930" w:rsidRDefault="008C2D39"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D'accord avec  le niveau de progrès significatif, mais avec les précisions ci-contre du C.E</w:t>
            </w:r>
          </w:p>
        </w:tc>
        <w:tc>
          <w:tcPr>
            <w:tcW w:w="5118" w:type="dxa"/>
            <w:hideMark/>
          </w:tcPr>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Les actions visant à rencontrer la recommandation 7 du </w:t>
            </w:r>
            <w:r w:rsidR="008C2D39" w:rsidRPr="00760930">
              <w:rPr>
                <w:rFonts w:ascii="Calibri" w:eastAsia="Times New Roman" w:hAnsi="Calibri" w:cs="Calibri"/>
                <w:color w:val="000000"/>
                <w:sz w:val="16"/>
                <w:szCs w:val="16"/>
                <w:lang w:eastAsia="fr-FR"/>
              </w:rPr>
              <w:t>Secrétariat</w:t>
            </w:r>
            <w:r w:rsidRPr="00760930">
              <w:rPr>
                <w:rFonts w:ascii="Calibri" w:eastAsia="Times New Roman" w:hAnsi="Calibri" w:cs="Calibri"/>
                <w:color w:val="000000"/>
                <w:sz w:val="16"/>
                <w:szCs w:val="16"/>
                <w:lang w:eastAsia="fr-FR"/>
              </w:rPr>
              <w:t xml:space="preserve"> International seront menées par le GMP</w:t>
            </w:r>
            <w:r w:rsidR="008C2D39" w:rsidRPr="00760930">
              <w:rPr>
                <w:rFonts w:ascii="Calibri" w:eastAsia="Times New Roman" w:hAnsi="Calibri" w:cs="Calibri"/>
                <w:color w:val="000000"/>
                <w:sz w:val="16"/>
                <w:szCs w:val="16"/>
                <w:lang w:eastAsia="fr-FR"/>
              </w:rPr>
              <w:t>.</w:t>
            </w:r>
          </w:p>
          <w:p w:rsidR="008C2D39" w:rsidRPr="00760930" w:rsidRDefault="008C2D39"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eastAsia="fr-FR"/>
              </w:rPr>
            </w:pPr>
            <w:r w:rsidRPr="00760930">
              <w:rPr>
                <w:rFonts w:ascii="Calibri" w:eastAsia="Times New Roman" w:hAnsi="Calibri" w:cs="Calibri"/>
                <w:b/>
                <w:bCs/>
                <w:sz w:val="16"/>
                <w:szCs w:val="16"/>
                <w:u w:val="single"/>
                <w:lang w:eastAsia="fr-FR"/>
              </w:rPr>
              <w:t>Précisions du C</w:t>
            </w:r>
            <w:r w:rsidR="00391400" w:rsidRPr="00760930">
              <w:rPr>
                <w:rFonts w:ascii="Calibri" w:eastAsia="Times New Roman" w:hAnsi="Calibri" w:cs="Calibri"/>
                <w:b/>
                <w:bCs/>
                <w:sz w:val="16"/>
                <w:szCs w:val="16"/>
                <w:u w:val="single"/>
                <w:lang w:eastAsia="fr-FR"/>
              </w:rPr>
              <w:t>.</w:t>
            </w:r>
            <w:r w:rsidRPr="00760930">
              <w:rPr>
                <w:rFonts w:ascii="Calibri" w:eastAsia="Times New Roman" w:hAnsi="Calibri" w:cs="Calibri"/>
                <w:b/>
                <w:bCs/>
                <w:sz w:val="16"/>
                <w:szCs w:val="16"/>
                <w:u w:val="single"/>
                <w:lang w:eastAsia="fr-FR"/>
              </w:rPr>
              <w:t>E</w:t>
            </w:r>
            <w:r w:rsidRPr="00760930">
              <w:rPr>
                <w:rFonts w:ascii="Calibri" w:eastAsia="Times New Roman" w:hAnsi="Calibri" w:cs="Calibri"/>
                <w:b/>
                <w:bCs/>
                <w:sz w:val="16"/>
                <w:szCs w:val="16"/>
                <w:lang w:eastAsia="fr-FR"/>
              </w:rPr>
              <w:t xml:space="preserve"> : </w:t>
            </w:r>
          </w:p>
          <w:p w:rsidR="00391400" w:rsidRPr="00760930" w:rsidRDefault="00391400" w:rsidP="00391400">
            <w:pPr>
              <w:pStyle w:val="Paragraphedeliste"/>
              <w:numPr>
                <w:ilvl w:val="0"/>
                <w:numId w:val="2"/>
              </w:numPr>
              <w:ind w:left="132" w:hanging="14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color w:val="000000"/>
                <w:sz w:val="16"/>
                <w:szCs w:val="16"/>
                <w:lang w:eastAsia="fr-FR"/>
              </w:rPr>
              <w:t>Octroi et transfert de licences pétrolières en 2015 :</w:t>
            </w:r>
            <w:r w:rsidRPr="00760930">
              <w:rPr>
                <w:rFonts w:ascii="Calibri" w:eastAsia="Times New Roman" w:hAnsi="Calibri" w:cs="Calibri"/>
                <w:color w:val="000000"/>
                <w:sz w:val="16"/>
                <w:szCs w:val="16"/>
                <w:lang w:eastAsia="fr-FR"/>
              </w:rPr>
              <w:t xml:space="preserve"> </w:t>
            </w:r>
          </w:p>
          <w:p w:rsidR="00391400" w:rsidRPr="00760930" w:rsidRDefault="00391400" w:rsidP="00391400">
            <w:pPr>
              <w:ind w:left="-1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La situation communiquée par le Secrétariat Général des Hydrocarbures et publiée sur le site de l’ITIE-RDC http://www.itierdc.net/contrats-ressources-naturelles/ montre qu’aucun octroi ni transfert n’a été effectué en 2015. </w:t>
            </w:r>
          </w:p>
          <w:p w:rsidR="00391400" w:rsidRPr="00760930" w:rsidRDefault="003F1947" w:rsidP="003F1947">
            <w:pPr>
              <w:pStyle w:val="Paragraphedeliste"/>
              <w:numPr>
                <w:ilvl w:val="0"/>
                <w:numId w:val="2"/>
              </w:numPr>
              <w:ind w:left="132" w:hanging="14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szCs w:val="16"/>
                <w:u w:val="single"/>
                <w:lang w:eastAsia="fr-FR"/>
              </w:rPr>
            </w:pPr>
            <w:r w:rsidRPr="00760930">
              <w:rPr>
                <w:rFonts w:ascii="Calibri" w:eastAsia="Times New Roman" w:hAnsi="Calibri" w:cs="Calibri"/>
                <w:b/>
                <w:color w:val="000000"/>
                <w:sz w:val="16"/>
                <w:szCs w:val="16"/>
                <w:lang w:eastAsia="fr-FR"/>
              </w:rPr>
              <w:t>Prorogation des licences d’exploration :</w:t>
            </w:r>
          </w:p>
          <w:p w:rsidR="00391400" w:rsidRPr="00760930" w:rsidRDefault="003F1947" w:rsidP="003914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Selon l’a</w:t>
            </w:r>
            <w:r w:rsidR="00391400" w:rsidRPr="00760930">
              <w:rPr>
                <w:rFonts w:ascii="Calibri" w:eastAsia="Times New Roman" w:hAnsi="Calibri" w:cs="Calibri"/>
                <w:color w:val="000000"/>
                <w:sz w:val="16"/>
                <w:szCs w:val="16"/>
                <w:lang w:eastAsia="fr-FR"/>
              </w:rPr>
              <w:t>rticle 52 de la Loi n°15/012 du 1</w:t>
            </w:r>
            <w:r w:rsidR="00391400" w:rsidRPr="00760930">
              <w:rPr>
                <w:rFonts w:ascii="Calibri" w:eastAsia="Times New Roman" w:hAnsi="Calibri" w:cs="Calibri"/>
                <w:color w:val="000000"/>
                <w:sz w:val="16"/>
                <w:szCs w:val="16"/>
                <w:vertAlign w:val="superscript"/>
                <w:lang w:eastAsia="fr-FR"/>
              </w:rPr>
              <w:t>er</w:t>
            </w:r>
            <w:r w:rsidR="00391400" w:rsidRPr="00760930">
              <w:rPr>
                <w:rFonts w:ascii="Calibri" w:eastAsia="Times New Roman" w:hAnsi="Calibri" w:cs="Calibri"/>
                <w:color w:val="000000"/>
                <w:sz w:val="16"/>
                <w:szCs w:val="16"/>
                <w:lang w:eastAsia="fr-FR"/>
              </w:rPr>
              <w:t xml:space="preserve"> août 2015</w:t>
            </w:r>
            <w:r w:rsidRPr="00760930">
              <w:rPr>
                <w:rFonts w:ascii="Calibri" w:eastAsia="Times New Roman" w:hAnsi="Calibri" w:cs="Calibri"/>
                <w:color w:val="000000"/>
                <w:sz w:val="16"/>
                <w:szCs w:val="16"/>
                <w:lang w:eastAsia="fr-FR"/>
              </w:rPr>
              <w:t xml:space="preserve"> portant </w:t>
            </w:r>
            <w:hyperlink r:id="rId12" w:history="1">
              <w:r w:rsidRPr="00760930">
                <w:rPr>
                  <w:rStyle w:val="Lienhypertexte"/>
                  <w:rFonts w:ascii="Calibri" w:eastAsia="Times New Roman" w:hAnsi="Calibri" w:cs="Calibri"/>
                  <w:sz w:val="16"/>
                  <w:szCs w:val="16"/>
                  <w:lang w:eastAsia="fr-FR"/>
                </w:rPr>
                <w:t>Code des Hydrocarbures</w:t>
              </w:r>
            </w:hyperlink>
            <w:r w:rsidR="00226A65" w:rsidRPr="00760930">
              <w:rPr>
                <w:rStyle w:val="Appelnotedebasdep"/>
                <w:rFonts w:ascii="Calibri" w:eastAsia="Times New Roman" w:hAnsi="Calibri" w:cs="Calibri"/>
                <w:color w:val="0000FF"/>
                <w:sz w:val="16"/>
                <w:szCs w:val="16"/>
                <w:lang w:eastAsia="fr-FR"/>
              </w:rPr>
              <w:footnoteReference w:id="5"/>
            </w:r>
            <w:r w:rsidRPr="00760930">
              <w:rPr>
                <w:rFonts w:ascii="Calibri" w:eastAsia="Times New Roman" w:hAnsi="Calibri" w:cs="Calibri"/>
                <w:color w:val="000000"/>
                <w:sz w:val="16"/>
                <w:szCs w:val="16"/>
                <w:lang w:eastAsia="fr-FR"/>
              </w:rPr>
              <w:t>, la prorogation des permis (a</w:t>
            </w:r>
            <w:r w:rsidR="00391400" w:rsidRPr="00760930">
              <w:rPr>
                <w:rFonts w:ascii="Calibri" w:eastAsia="Times New Roman" w:hAnsi="Calibri" w:cs="Calibri"/>
                <w:color w:val="000000"/>
                <w:sz w:val="16"/>
                <w:szCs w:val="16"/>
                <w:lang w:eastAsia="fr-FR"/>
              </w:rPr>
              <w:t>utre que le renouvellement) est prévue et concerne seulement les permis d’exploration</w:t>
            </w:r>
            <w:r w:rsidRPr="00760930">
              <w:rPr>
                <w:rFonts w:ascii="Calibri" w:eastAsia="Times New Roman" w:hAnsi="Calibri" w:cs="Calibri"/>
                <w:color w:val="000000"/>
                <w:sz w:val="16"/>
                <w:szCs w:val="16"/>
                <w:lang w:eastAsia="fr-FR"/>
              </w:rPr>
              <w:t>.</w:t>
            </w:r>
          </w:p>
          <w:p w:rsidR="00391400" w:rsidRPr="00760930" w:rsidRDefault="00C71FC9" w:rsidP="00C71FC9">
            <w:pPr>
              <w:pStyle w:val="Paragraphedeliste"/>
              <w:numPr>
                <w:ilvl w:val="0"/>
                <w:numId w:val="2"/>
              </w:numPr>
              <w:ind w:left="132" w:hanging="14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szCs w:val="16"/>
                <w:u w:val="single"/>
                <w:lang w:eastAsia="fr-FR"/>
              </w:rPr>
            </w:pPr>
            <w:r w:rsidRPr="00760930">
              <w:rPr>
                <w:rFonts w:ascii="Calibri" w:eastAsia="Times New Roman" w:hAnsi="Calibri" w:cs="Calibri"/>
                <w:b/>
                <w:color w:val="000000"/>
                <w:sz w:val="16"/>
                <w:szCs w:val="16"/>
                <w:lang w:eastAsia="fr-FR"/>
              </w:rPr>
              <w:t>De la divulgation des écarts non-négligeables : cas de TOTAL E&amp;P et PERENCO REP</w:t>
            </w:r>
            <w:r w:rsidRPr="00760930">
              <w:rPr>
                <w:rFonts w:ascii="Calibri" w:eastAsia="Times New Roman" w:hAnsi="Calibri" w:cs="Calibri"/>
                <w:color w:val="000000"/>
                <w:sz w:val="16"/>
                <w:szCs w:val="16"/>
                <w:lang w:eastAsia="fr-FR"/>
              </w:rPr>
              <w:t xml:space="preserve"> (p.70, Rapport initial)</w:t>
            </w:r>
          </w:p>
          <w:p w:rsidR="00C71FC9" w:rsidRPr="00760930" w:rsidRDefault="00C71FC9" w:rsidP="003914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 cas de </w:t>
            </w:r>
            <w:r w:rsidRPr="00760930">
              <w:rPr>
                <w:rFonts w:ascii="Calibri" w:eastAsia="Times New Roman" w:hAnsi="Calibri" w:cs="Calibri"/>
                <w:b/>
                <w:color w:val="000000"/>
                <w:sz w:val="16"/>
                <w:szCs w:val="16"/>
                <w:lang w:eastAsia="fr-FR"/>
              </w:rPr>
              <w:t>PERENCO REP</w:t>
            </w:r>
            <w:r w:rsidRPr="00760930">
              <w:rPr>
                <w:rFonts w:ascii="Calibri" w:eastAsia="Times New Roman" w:hAnsi="Calibri" w:cs="Calibri"/>
                <w:color w:val="000000"/>
                <w:sz w:val="16"/>
                <w:szCs w:val="16"/>
                <w:lang w:eastAsia="fr-FR"/>
              </w:rPr>
              <w:t xml:space="preserve"> est expliqué dans le Rapport Contextuel 2016</w:t>
            </w:r>
          </w:p>
          <w:p w:rsidR="00C71FC9" w:rsidRPr="00760930" w:rsidRDefault="00C71FC9" w:rsidP="00CB58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szCs w:val="16"/>
                <w:lang w:eastAsia="fr-FR"/>
              </w:rPr>
            </w:pPr>
            <w:r w:rsidRPr="00760930">
              <w:rPr>
                <w:rFonts w:ascii="Calibri" w:eastAsia="Times New Roman" w:hAnsi="Calibri" w:cs="Calibri"/>
                <w:color w:val="000000"/>
                <w:sz w:val="16"/>
                <w:szCs w:val="16"/>
                <w:lang w:eastAsia="fr-FR"/>
              </w:rPr>
              <w:t xml:space="preserve">Pour </w:t>
            </w:r>
            <w:r w:rsidRPr="00760930">
              <w:rPr>
                <w:rFonts w:ascii="Calibri" w:eastAsia="Times New Roman" w:hAnsi="Calibri" w:cs="Calibri"/>
                <w:b/>
                <w:color w:val="000000"/>
                <w:sz w:val="16"/>
                <w:szCs w:val="16"/>
                <w:lang w:eastAsia="fr-FR"/>
              </w:rPr>
              <w:t>TOTAL E&amp;P</w:t>
            </w:r>
            <w:r w:rsidRPr="00760930">
              <w:rPr>
                <w:rFonts w:ascii="Calibri" w:eastAsia="Times New Roman" w:hAnsi="Calibri" w:cs="Calibri"/>
                <w:color w:val="000000"/>
                <w:sz w:val="16"/>
                <w:szCs w:val="16"/>
                <w:lang w:eastAsia="fr-FR"/>
              </w:rPr>
              <w:t>,</w:t>
            </w:r>
            <w:r w:rsidRPr="00760930">
              <w:rPr>
                <w:rFonts w:ascii="Calibri" w:eastAsia="Times New Roman" w:hAnsi="Calibri" w:cs="Calibri"/>
                <w:b/>
                <w:color w:val="000000"/>
                <w:sz w:val="16"/>
                <w:szCs w:val="16"/>
                <w:lang w:eastAsia="fr-FR"/>
              </w:rPr>
              <w:t xml:space="preserve"> </w:t>
            </w:r>
            <w:r w:rsidR="00CB58F0" w:rsidRPr="00760930">
              <w:rPr>
                <w:rFonts w:ascii="Calibri" w:eastAsia="Times New Roman" w:hAnsi="Calibri" w:cs="Calibri"/>
                <w:color w:val="000000"/>
                <w:sz w:val="16"/>
                <w:szCs w:val="16"/>
                <w:lang w:eastAsia="fr-FR"/>
              </w:rPr>
              <w:t>conformément à l’article</w:t>
            </w:r>
            <w:r w:rsidR="00CB58F0" w:rsidRPr="00760930">
              <w:rPr>
                <w:rFonts w:ascii="Calibri" w:eastAsia="Times New Roman" w:hAnsi="Calibri" w:cs="Calibri"/>
                <w:b/>
                <w:color w:val="000000"/>
                <w:sz w:val="16"/>
                <w:szCs w:val="16"/>
                <w:lang w:eastAsia="fr-FR"/>
              </w:rPr>
              <w:t xml:space="preserve"> </w:t>
            </w:r>
            <w:r w:rsidR="00CB58F0" w:rsidRPr="00760930">
              <w:rPr>
                <w:rFonts w:ascii="Calibri" w:eastAsia="Times New Roman" w:hAnsi="Calibri" w:cs="Calibri"/>
                <w:color w:val="000000"/>
                <w:sz w:val="16"/>
                <w:szCs w:val="16"/>
                <w:lang w:eastAsia="fr-FR"/>
              </w:rPr>
              <w:t xml:space="preserve">50 du Code des Hydrocarbures, le droit d’exploration est exclusif. Il est accordé pour une durée initiale de 3 ans renouvelable 2 fois respectivement pour une durée de 3 ans. C’est ainsi que le permis de </w:t>
            </w:r>
            <w:r w:rsidR="00CB58F0" w:rsidRPr="00760930">
              <w:rPr>
                <w:rFonts w:ascii="Calibri" w:eastAsia="Times New Roman" w:hAnsi="Calibri" w:cs="Calibri"/>
                <w:b/>
                <w:color w:val="000000"/>
                <w:sz w:val="16"/>
                <w:szCs w:val="16"/>
                <w:lang w:eastAsia="fr-FR"/>
              </w:rPr>
              <w:t>TOTAL E&amp;P</w:t>
            </w:r>
            <w:r w:rsidR="00CB58F0" w:rsidRPr="00760930">
              <w:rPr>
                <w:rFonts w:ascii="Calibri" w:eastAsia="Times New Roman" w:hAnsi="Calibri" w:cs="Calibri"/>
                <w:color w:val="000000"/>
                <w:sz w:val="16"/>
                <w:szCs w:val="16"/>
                <w:lang w:eastAsia="fr-FR"/>
              </w:rPr>
              <w:t xml:space="preserve"> renouvelé pour la 1</w:t>
            </w:r>
            <w:r w:rsidR="00CB58F0" w:rsidRPr="00760930">
              <w:rPr>
                <w:rFonts w:ascii="Calibri" w:eastAsia="Times New Roman" w:hAnsi="Calibri" w:cs="Calibri"/>
                <w:color w:val="000000"/>
                <w:sz w:val="16"/>
                <w:szCs w:val="16"/>
                <w:vertAlign w:val="superscript"/>
                <w:lang w:eastAsia="fr-FR"/>
              </w:rPr>
              <w:t>ère</w:t>
            </w:r>
            <w:r w:rsidR="00CB58F0" w:rsidRPr="00760930">
              <w:rPr>
                <w:rFonts w:ascii="Calibri" w:eastAsia="Times New Roman" w:hAnsi="Calibri" w:cs="Calibri"/>
                <w:color w:val="000000"/>
                <w:sz w:val="16"/>
                <w:szCs w:val="16"/>
                <w:lang w:eastAsia="fr-FR"/>
              </w:rPr>
              <w:t xml:space="preserve"> fois en 2012, a été, en application de l’article précité, renouvelé pour la 2</w:t>
            </w:r>
            <w:r w:rsidR="00CB58F0" w:rsidRPr="00760930">
              <w:rPr>
                <w:rFonts w:ascii="Calibri" w:eastAsia="Times New Roman" w:hAnsi="Calibri" w:cs="Calibri"/>
                <w:color w:val="000000"/>
                <w:sz w:val="16"/>
                <w:szCs w:val="16"/>
                <w:vertAlign w:val="superscript"/>
                <w:lang w:eastAsia="fr-FR"/>
              </w:rPr>
              <w:t>ème</w:t>
            </w:r>
            <w:r w:rsidR="00CB58F0" w:rsidRPr="00760930">
              <w:rPr>
                <w:rFonts w:ascii="Calibri" w:eastAsia="Times New Roman" w:hAnsi="Calibri" w:cs="Calibri"/>
                <w:color w:val="000000"/>
                <w:sz w:val="16"/>
                <w:szCs w:val="16"/>
                <w:lang w:eastAsia="fr-FR"/>
              </w:rPr>
              <w:t xml:space="preserve"> fois en 2015. </w:t>
            </w:r>
            <w:r w:rsidR="00CB58F0" w:rsidRPr="00760930">
              <w:rPr>
                <w:rFonts w:ascii="Calibri" w:eastAsia="Times New Roman" w:hAnsi="Calibri" w:cs="Calibri"/>
                <w:b/>
                <w:color w:val="000000"/>
                <w:sz w:val="16"/>
                <w:szCs w:val="16"/>
                <w:lang w:eastAsia="fr-FR"/>
              </w:rPr>
              <w:t xml:space="preserve"> </w:t>
            </w:r>
          </w:p>
          <w:p w:rsidR="00391400" w:rsidRPr="00760930" w:rsidRDefault="00CB58F0" w:rsidP="003914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 </w:t>
            </w:r>
            <w:r w:rsidR="00391400" w:rsidRPr="00760930">
              <w:rPr>
                <w:rFonts w:ascii="Calibri" w:eastAsia="Times New Roman" w:hAnsi="Calibri" w:cs="Calibri"/>
                <w:color w:val="000000"/>
                <w:sz w:val="16"/>
                <w:szCs w:val="16"/>
                <w:lang w:eastAsia="fr-FR"/>
              </w:rPr>
              <w:t>rapport contextuel 2016 a apporté des informations spécifiques sur la prorogation du permis de TOTAL E&amp;P :</w:t>
            </w:r>
            <w:r w:rsidR="00C71FC9" w:rsidRPr="00760930">
              <w:rPr>
                <w:rFonts w:ascii="Calibri" w:eastAsia="Times New Roman" w:hAnsi="Calibri" w:cs="Calibri"/>
                <w:color w:val="000000"/>
                <w:sz w:val="16"/>
                <w:szCs w:val="16"/>
                <w:lang w:eastAsia="fr-FR"/>
              </w:rPr>
              <w:t xml:space="preserve"> </w:t>
            </w:r>
          </w:p>
          <w:p w:rsidR="00391400" w:rsidRPr="00760930" w:rsidRDefault="00391400" w:rsidP="003914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TOTAL a fait les travaux d’exploration jusqu’à la sismique qui a fait état de l’existence de trois prospects à une profondeur de 4 Km. Mais, au regard des conditions climatiques, géographiques et d’accessibilité très difficiles dans la zone d’exploitation, TOTAL a estimé que le projet sera très coûteux et risque de ne pas être rentable. Ces conditions difficiles avaient nécessité des travaux supplémentaires pour la poursuite du programme.</w:t>
            </w:r>
          </w:p>
          <w:p w:rsidR="00391400" w:rsidRPr="00760930" w:rsidRDefault="00391400" w:rsidP="003914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C’est pour cette raison que TOTAL avait demandé l’extension du permis et sollicite du Gouvernement Congolais que les termes du Contrat soient renégociés, notamment pour bénéficier de certaines exonérations, avant de procéder aux travaux de forage.</w:t>
            </w:r>
          </w:p>
          <w:p w:rsidR="00391400" w:rsidRPr="00760930" w:rsidRDefault="00391400" w:rsidP="003914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Une extension du permis d’une année lui a été accordée. Concernant la renégociation des termes du Contrat, le Gouvernement estime bon de traiter de cette question après le forage.</w:t>
            </w:r>
            <w:r w:rsidR="00C71FC9" w:rsidRPr="00760930">
              <w:rPr>
                <w:rFonts w:ascii="Calibri" w:eastAsia="Times New Roman" w:hAnsi="Calibri" w:cs="Calibri"/>
                <w:color w:val="000000"/>
                <w:sz w:val="16"/>
                <w:szCs w:val="16"/>
                <w:lang w:eastAsia="fr-FR"/>
              </w:rPr>
              <w:t xml:space="preserve"> </w:t>
            </w:r>
            <w:r w:rsidRPr="00760930">
              <w:rPr>
                <w:rFonts w:ascii="Calibri" w:eastAsia="Times New Roman" w:hAnsi="Calibri" w:cs="Calibri"/>
                <w:color w:val="000000"/>
                <w:sz w:val="16"/>
                <w:szCs w:val="16"/>
                <w:lang w:eastAsia="fr-FR"/>
              </w:rPr>
              <w:t>C’est là le niveau des discussions.</w:t>
            </w:r>
          </w:p>
          <w:p w:rsidR="00391400" w:rsidRPr="00760930" w:rsidRDefault="00391400" w:rsidP="003914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L’arrêté du Ministre des Hydrocarbures qui a accordé l’extension de permis à TOTAL peut être cons</w:t>
            </w:r>
            <w:r w:rsidR="00226A65" w:rsidRPr="00760930">
              <w:rPr>
                <w:rFonts w:ascii="Calibri" w:eastAsia="Times New Roman" w:hAnsi="Calibri" w:cs="Calibri"/>
                <w:color w:val="000000"/>
                <w:sz w:val="16"/>
                <w:szCs w:val="16"/>
                <w:lang w:eastAsia="fr-FR"/>
              </w:rPr>
              <w:t xml:space="preserve">ulté sur le site de l’ITIE-RDC </w:t>
            </w:r>
            <w:hyperlink r:id="rId13" w:history="1">
              <w:r w:rsidR="00226A65" w:rsidRPr="00760930">
                <w:rPr>
                  <w:rStyle w:val="Lienhypertexte"/>
                  <w:rFonts w:ascii="Calibri" w:eastAsia="Times New Roman" w:hAnsi="Calibri" w:cs="Calibri"/>
                  <w:sz w:val="16"/>
                  <w:szCs w:val="16"/>
                  <w:lang w:eastAsia="fr-FR"/>
                </w:rPr>
                <w:t>Ici</w:t>
              </w:r>
            </w:hyperlink>
            <w:r w:rsidR="00226A65" w:rsidRPr="00760930">
              <w:rPr>
                <w:rFonts w:ascii="Calibri" w:eastAsia="Times New Roman" w:hAnsi="Calibri" w:cs="Calibri"/>
                <w:color w:val="000000"/>
                <w:sz w:val="16"/>
                <w:szCs w:val="16"/>
                <w:lang w:eastAsia="fr-FR"/>
              </w:rPr>
              <w:t>.</w:t>
            </w:r>
          </w:p>
        </w:tc>
        <w:tc>
          <w:tcPr>
            <w:tcW w:w="977" w:type="dxa"/>
            <w:hideMark/>
          </w:tcPr>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B0F0"/>
                <w:sz w:val="16"/>
                <w:szCs w:val="16"/>
                <w:lang w:eastAsia="fr-FR"/>
              </w:rPr>
            </w:pPr>
            <w:r w:rsidRPr="00760930">
              <w:rPr>
                <w:rFonts w:ascii="Calibri" w:eastAsia="Times New Roman" w:hAnsi="Calibri" w:cs="Calibri"/>
                <w:b/>
                <w:bCs/>
                <w:color w:val="0000FF"/>
                <w:sz w:val="16"/>
                <w:szCs w:val="16"/>
                <w:lang w:eastAsia="fr-FR"/>
              </w:rPr>
              <w:t>Progrès Significatif</w:t>
            </w:r>
          </w:p>
        </w:tc>
      </w:tr>
      <w:tr w:rsidR="00A542BE" w:rsidRPr="00760930" w:rsidTr="00966F60">
        <w:trPr>
          <w:trHeight w:val="1034"/>
        </w:trPr>
        <w:tc>
          <w:tcPr>
            <w:cnfStyle w:val="001000000000" w:firstRow="0" w:lastRow="0" w:firstColumn="1" w:lastColumn="0" w:oddVBand="0" w:evenVBand="0" w:oddHBand="0" w:evenHBand="0" w:firstRowFirstColumn="0" w:firstRowLastColumn="0" w:lastRowFirstColumn="0" w:lastRowLastColumn="0"/>
            <w:tcW w:w="1165" w:type="dxa"/>
            <w:hideMark/>
          </w:tcPr>
          <w:p w:rsidR="0064052B" w:rsidRPr="00760930" w:rsidRDefault="00226A65" w:rsidP="00A22206">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lastRenderedPageBreak/>
              <w:t>Registre</w:t>
            </w:r>
            <w:r w:rsidR="0064052B" w:rsidRPr="00760930">
              <w:rPr>
                <w:rFonts w:ascii="Calibri" w:eastAsia="Times New Roman" w:hAnsi="Calibri" w:cs="Calibri"/>
                <w:color w:val="000000"/>
                <w:sz w:val="16"/>
                <w:szCs w:val="16"/>
                <w:lang w:eastAsia="fr-FR"/>
              </w:rPr>
              <w:t xml:space="preserve"> des licences (2.3)</w:t>
            </w:r>
          </w:p>
        </w:tc>
        <w:tc>
          <w:tcPr>
            <w:tcW w:w="2716" w:type="dxa"/>
            <w:hideMark/>
          </w:tcPr>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00"/>
                <w:sz w:val="16"/>
                <w:szCs w:val="16"/>
                <w:lang w:eastAsia="fr-FR"/>
              </w:rPr>
              <w:t>De la tenue du registre des permis miniers</w:t>
            </w:r>
            <w:r w:rsidRPr="00760930">
              <w:rPr>
                <w:rFonts w:ascii="Calibri" w:eastAsia="Times New Roman" w:hAnsi="Calibri" w:cs="Calibri"/>
                <w:color w:val="000000"/>
                <w:sz w:val="16"/>
                <w:szCs w:val="16"/>
                <w:lang w:eastAsia="fr-FR"/>
              </w:rPr>
              <w:br/>
              <w:t>Le ministère des Mines tient à jour un registre des licences minières qui est accessible au public et que la majorité des parties prenantes considèrent comme un outil essentiel. Le Rapport contextuel ITIE 2016 mentionne le cadastre en ligne et émet des commentaires à son sujet, notamment en ce qui concerne des incohérences mineures dans les données et l’absence de dates de demande, d’octroi et d’expiration pour toutes les licences. Le site Internet de l’ITIE RDC présente également la liste de tous les droits miniers en cours de validité au 31 décembre en 2016 et en 2017, y compris les détenteurs de licences, leur numéro d’identification fiscale, le type de permis, le numéro de permis, le statut, la province, l’emplacement, les dates de demande, d’octroi et d’expiration, les matières premières couvertes, la délimitation exacte des superficies allouées et les transferts potentiels.</w:t>
            </w:r>
            <w:r w:rsidRPr="00760930">
              <w:rPr>
                <w:rFonts w:ascii="Calibri" w:eastAsia="Times New Roman" w:hAnsi="Calibri" w:cs="Calibri"/>
                <w:color w:val="000000"/>
                <w:sz w:val="16"/>
                <w:szCs w:val="16"/>
                <w:lang w:eastAsia="fr-FR"/>
              </w:rPr>
              <w:br/>
            </w:r>
            <w:r w:rsidRPr="00760930">
              <w:rPr>
                <w:rFonts w:ascii="Calibri" w:eastAsia="Times New Roman" w:hAnsi="Calibri" w:cs="Calibri"/>
                <w:b/>
                <w:bCs/>
                <w:color w:val="000000"/>
                <w:sz w:val="16"/>
                <w:szCs w:val="16"/>
                <w:lang w:eastAsia="fr-FR"/>
              </w:rPr>
              <w:t>Des coordonnées des détenteurs et de l'exhaustivité des permis</w:t>
            </w:r>
            <w:r w:rsidRPr="00760930">
              <w:rPr>
                <w:rFonts w:ascii="Calibri" w:eastAsia="Times New Roman" w:hAnsi="Calibri" w:cs="Calibri"/>
                <w:color w:val="000000"/>
                <w:sz w:val="16"/>
                <w:szCs w:val="16"/>
                <w:lang w:eastAsia="fr-FR"/>
              </w:rPr>
              <w:br/>
              <w:t xml:space="preserve"> Bien que les coordonnées ne soient disponibles ni dans le cadastre en ligne ni sur le site Internet de l’ITIE RDC, elles figurent dans des arrêtés ministériels individuels portant approbation d’octrois ou de transferts de licences publiés par le ministère des Mines. Aucune préoccupation n’a été soulevée au sujet de l’exhaustivité globale des licences couvertes. La RDC ne détient pas de registre similaire </w:t>
            </w:r>
            <w:r w:rsidRPr="00760930">
              <w:rPr>
                <w:rFonts w:ascii="Calibri" w:eastAsia="Times New Roman" w:hAnsi="Calibri" w:cs="Calibri"/>
                <w:color w:val="000000"/>
                <w:sz w:val="16"/>
                <w:szCs w:val="16"/>
                <w:lang w:eastAsia="fr-FR"/>
              </w:rPr>
              <w:lastRenderedPageBreak/>
              <w:t xml:space="preserve">accessible au public pour les licences dans le secteur des hydrocarbures. Toutefois, le site Internet de l’ITIE RDC présente un résumé du registre détenu par le SGH. Le Rapport contextuel ITIE 2016 précise que certains points de données manquaient pour certaines licences, dont les coordonnées et les dates de demande. </w:t>
            </w:r>
          </w:p>
        </w:tc>
        <w:tc>
          <w:tcPr>
            <w:tcW w:w="1004" w:type="dxa"/>
            <w:hideMark/>
          </w:tcPr>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 xml:space="preserve">Le validateur a approuvé les conclusions du SI ainsi que le niveau </w:t>
            </w:r>
            <w:r w:rsidRPr="007F7F67">
              <w:rPr>
                <w:rFonts w:ascii="Calibri" w:eastAsia="Times New Roman" w:hAnsi="Calibri" w:cs="Calibri"/>
                <w:b/>
                <w:color w:val="FF0000"/>
                <w:sz w:val="16"/>
                <w:szCs w:val="16"/>
                <w:lang w:eastAsia="fr-FR"/>
              </w:rPr>
              <w:t>de progrès significatif</w:t>
            </w:r>
            <w:r w:rsidRPr="00760930">
              <w:rPr>
                <w:rFonts w:ascii="Calibri" w:eastAsia="Times New Roman" w:hAnsi="Calibri" w:cs="Calibri"/>
                <w:color w:val="000000"/>
                <w:sz w:val="16"/>
                <w:szCs w:val="16"/>
                <w:lang w:eastAsia="fr-FR"/>
              </w:rPr>
              <w:t xml:space="preserve"> </w:t>
            </w:r>
          </w:p>
        </w:tc>
        <w:tc>
          <w:tcPr>
            <w:tcW w:w="2072" w:type="dxa"/>
            <w:hideMark/>
          </w:tcPr>
          <w:p w:rsidR="00F207D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E</w:t>
            </w:r>
            <w:r w:rsidR="00F207D0">
              <w:rPr>
                <w:rFonts w:ascii="Calibri" w:eastAsia="Times New Roman" w:hAnsi="Calibri" w:cs="Calibri"/>
                <w:color w:val="000000"/>
                <w:sz w:val="16"/>
                <w:szCs w:val="16"/>
                <w:lang w:eastAsia="fr-FR"/>
              </w:rPr>
              <w:t>n application de l’Exigence 2.3 :</w:t>
            </w:r>
          </w:p>
          <w:p w:rsidR="00F207D0" w:rsidRDefault="0064052B" w:rsidP="00F207D0">
            <w:pPr>
              <w:pStyle w:val="Paragraphedeliste"/>
              <w:numPr>
                <w:ilvl w:val="0"/>
                <w:numId w:val="9"/>
              </w:numPr>
              <w:tabs>
                <w:tab w:val="left" w:pos="20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la RDC devra tenir un système de registre ou de cadastre public contenant des informations actualisées et complètes afférentes à toutes les licences détenues par des entreprises extractives. </w:t>
            </w:r>
          </w:p>
          <w:p w:rsidR="00F207D0" w:rsidRDefault="0064052B" w:rsidP="00F207D0">
            <w:pPr>
              <w:pStyle w:val="Paragraphedeliste"/>
              <w:numPr>
                <w:ilvl w:val="0"/>
                <w:numId w:val="9"/>
              </w:numPr>
              <w:tabs>
                <w:tab w:val="left" w:pos="20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La RDC devra travailler en étroite collaboration avec le ministère des Hydrocarbures, le SGH et les partenaires pour veiller à ce qu’un registre des licences pétrolières et gazières soit accessible au public. </w:t>
            </w:r>
          </w:p>
          <w:p w:rsidR="0064052B" w:rsidRPr="00F207D0" w:rsidRDefault="0064052B" w:rsidP="00F207D0">
            <w:pPr>
              <w:pStyle w:val="Paragraphedeliste"/>
              <w:numPr>
                <w:ilvl w:val="0"/>
                <w:numId w:val="9"/>
              </w:numPr>
              <w:tabs>
                <w:tab w:val="left" w:pos="20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Le CAMI est  encouragé à améliorer la ponctualité et l’exhaustivité des données sur son cadastre en ligne, en ajoutant des coordonnées géographiques, dans la mesure du possible. Il pourrait également envisager de mettre ses données à disposition dans un format de données ouvertes. </w:t>
            </w:r>
          </w:p>
        </w:tc>
        <w:tc>
          <w:tcPr>
            <w:tcW w:w="1617" w:type="dxa"/>
            <w:hideMark/>
          </w:tcPr>
          <w:p w:rsidR="0064052B" w:rsidRPr="00760930" w:rsidRDefault="0009159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D'accord avec  le niveau de progrès significatif, mais avec les précisions ci-contre du C.E</w:t>
            </w:r>
          </w:p>
        </w:tc>
        <w:tc>
          <w:tcPr>
            <w:tcW w:w="5118" w:type="dxa"/>
            <w:hideMark/>
          </w:tcPr>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Les actions visant à rencontrer la recommandation 8 du </w:t>
            </w:r>
            <w:r w:rsidR="008C2D39" w:rsidRPr="00760930">
              <w:rPr>
                <w:rFonts w:ascii="Calibri" w:eastAsia="Times New Roman" w:hAnsi="Calibri" w:cs="Calibri"/>
                <w:color w:val="000000"/>
                <w:sz w:val="16"/>
                <w:szCs w:val="16"/>
                <w:lang w:eastAsia="fr-FR"/>
              </w:rPr>
              <w:t>Secrétariat</w:t>
            </w:r>
            <w:r w:rsidRPr="00760930">
              <w:rPr>
                <w:rFonts w:ascii="Calibri" w:eastAsia="Times New Roman" w:hAnsi="Calibri" w:cs="Calibri"/>
                <w:color w:val="000000"/>
                <w:sz w:val="16"/>
                <w:szCs w:val="16"/>
                <w:lang w:eastAsia="fr-FR"/>
              </w:rPr>
              <w:t xml:space="preserve"> International seront menées par le GMP</w:t>
            </w:r>
            <w:r w:rsidR="005B0391" w:rsidRPr="00760930">
              <w:rPr>
                <w:rFonts w:ascii="Calibri" w:eastAsia="Times New Roman" w:hAnsi="Calibri" w:cs="Calibri"/>
                <w:color w:val="000000"/>
                <w:sz w:val="16"/>
                <w:szCs w:val="16"/>
                <w:lang w:eastAsia="fr-FR"/>
              </w:rPr>
              <w:t>.</w:t>
            </w:r>
          </w:p>
          <w:p w:rsidR="0009159B" w:rsidRPr="00760930" w:rsidRDefault="0009159B" w:rsidP="0009159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6"/>
                <w:szCs w:val="6"/>
                <w:u w:val="single"/>
                <w:lang w:eastAsia="fr-FR"/>
              </w:rPr>
            </w:pPr>
          </w:p>
          <w:p w:rsidR="0009159B" w:rsidRPr="00760930" w:rsidRDefault="0009159B" w:rsidP="0009159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eastAsia="fr-FR"/>
              </w:rPr>
            </w:pPr>
            <w:r w:rsidRPr="00760930">
              <w:rPr>
                <w:rFonts w:ascii="Calibri" w:eastAsia="Times New Roman" w:hAnsi="Calibri" w:cs="Calibri"/>
                <w:b/>
                <w:bCs/>
                <w:sz w:val="16"/>
                <w:szCs w:val="16"/>
                <w:u w:val="single"/>
                <w:lang w:eastAsia="fr-FR"/>
              </w:rPr>
              <w:t>Précisions du C.E</w:t>
            </w:r>
            <w:r w:rsidRPr="00760930">
              <w:rPr>
                <w:rFonts w:ascii="Calibri" w:eastAsia="Times New Roman" w:hAnsi="Calibri" w:cs="Calibri"/>
                <w:b/>
                <w:bCs/>
                <w:sz w:val="16"/>
                <w:szCs w:val="16"/>
                <w:lang w:eastAsia="fr-FR"/>
              </w:rPr>
              <w:t xml:space="preserve"> : </w:t>
            </w:r>
          </w:p>
          <w:p w:rsidR="005B0391" w:rsidRPr="00760930" w:rsidRDefault="005B0391"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6"/>
                <w:szCs w:val="6"/>
                <w:lang w:eastAsia="fr-FR"/>
              </w:rPr>
            </w:pPr>
          </w:p>
          <w:p w:rsidR="005B0391" w:rsidRPr="00760930" w:rsidRDefault="005B0391" w:rsidP="0009159B">
            <w:pPr>
              <w:pStyle w:val="Paragraphedeliste"/>
              <w:numPr>
                <w:ilvl w:val="0"/>
                <w:numId w:val="2"/>
              </w:numPr>
              <w:ind w:left="132" w:hanging="14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16"/>
                <w:szCs w:val="16"/>
                <w:lang w:eastAsia="fr-FR"/>
              </w:rPr>
            </w:pPr>
            <w:r w:rsidRPr="00760930">
              <w:rPr>
                <w:rFonts w:ascii="Calibri" w:eastAsia="Times New Roman" w:hAnsi="Calibri" w:cs="Calibri"/>
                <w:b/>
                <w:color w:val="000000"/>
                <w:sz w:val="16"/>
                <w:szCs w:val="16"/>
                <w:lang w:eastAsia="fr-FR"/>
              </w:rPr>
              <w:t>Accessibilité des données du Cadastre minier</w:t>
            </w:r>
            <w:r w:rsidR="0009159B" w:rsidRPr="00760930">
              <w:rPr>
                <w:rFonts w:ascii="Calibri" w:eastAsia="Times New Roman" w:hAnsi="Calibri" w:cs="Calibri"/>
                <w:b/>
                <w:color w:val="000000"/>
                <w:sz w:val="16"/>
                <w:szCs w:val="16"/>
                <w:lang w:eastAsia="fr-FR"/>
              </w:rPr>
              <w:t> :</w:t>
            </w:r>
          </w:p>
          <w:p w:rsidR="0009159B" w:rsidRPr="00760930" w:rsidRDefault="005B0391" w:rsidP="00BC765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La base de données permet une recherche par numéro de titre et par nom de société. Elle permet de consulter pour chaque titre minier :</w:t>
            </w:r>
          </w:p>
          <w:p w:rsidR="0009159B" w:rsidRPr="00760930" w:rsidRDefault="0009159B" w:rsidP="00BC7652">
            <w:pPr>
              <w:pStyle w:val="Paragraphedeliste"/>
              <w:numPr>
                <w:ilvl w:val="0"/>
                <w:numId w:val="4"/>
              </w:numPr>
              <w:ind w:left="273" w:hanging="14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le propriétaire ;</w:t>
            </w:r>
          </w:p>
          <w:p w:rsidR="0009159B" w:rsidRPr="00760930" w:rsidRDefault="0009159B" w:rsidP="00BC7652">
            <w:pPr>
              <w:pStyle w:val="Paragraphedeliste"/>
              <w:numPr>
                <w:ilvl w:val="0"/>
                <w:numId w:val="4"/>
              </w:numPr>
              <w:ind w:left="273" w:hanging="14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la superficie ;</w:t>
            </w:r>
          </w:p>
          <w:p w:rsidR="0009159B" w:rsidRPr="00760930" w:rsidRDefault="0009159B" w:rsidP="00BC7652">
            <w:pPr>
              <w:pStyle w:val="Paragraphedeliste"/>
              <w:numPr>
                <w:ilvl w:val="0"/>
                <w:numId w:val="4"/>
              </w:numPr>
              <w:ind w:left="273" w:hanging="14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les substances minières ;</w:t>
            </w:r>
          </w:p>
          <w:p w:rsidR="0009159B" w:rsidRPr="00760930" w:rsidRDefault="005B0391" w:rsidP="00BC7652">
            <w:pPr>
              <w:pStyle w:val="Paragraphedeliste"/>
              <w:numPr>
                <w:ilvl w:val="0"/>
                <w:numId w:val="4"/>
              </w:numPr>
              <w:ind w:left="273" w:hanging="14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FF"/>
                <w:sz w:val="16"/>
                <w:szCs w:val="16"/>
                <w:lang w:eastAsia="fr-FR"/>
              </w:rPr>
              <w:t>la carte géologique et le positionnement sur la carte</w:t>
            </w:r>
            <w:r w:rsidR="0009159B" w:rsidRPr="00760930">
              <w:rPr>
                <w:rFonts w:ascii="Calibri" w:eastAsia="Times New Roman" w:hAnsi="Calibri" w:cs="Calibri"/>
                <w:color w:val="000000"/>
                <w:sz w:val="16"/>
                <w:szCs w:val="16"/>
                <w:lang w:eastAsia="fr-FR"/>
              </w:rPr>
              <w:t xml:space="preserve"> ;</w:t>
            </w:r>
          </w:p>
          <w:p w:rsidR="0009159B" w:rsidRPr="00760930" w:rsidRDefault="0009159B" w:rsidP="00BC7652">
            <w:pPr>
              <w:pStyle w:val="Paragraphedeliste"/>
              <w:numPr>
                <w:ilvl w:val="0"/>
                <w:numId w:val="4"/>
              </w:numPr>
              <w:ind w:left="273" w:hanging="14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l</w:t>
            </w:r>
            <w:r w:rsidR="005B0391" w:rsidRPr="00760930">
              <w:rPr>
                <w:rFonts w:ascii="Calibri" w:eastAsia="Times New Roman" w:hAnsi="Calibri" w:cs="Calibri"/>
                <w:color w:val="000000"/>
                <w:sz w:val="16"/>
                <w:szCs w:val="16"/>
                <w:lang w:eastAsia="fr-FR"/>
              </w:rPr>
              <w:t>a date d'applica</w:t>
            </w:r>
            <w:r w:rsidRPr="00760930">
              <w:rPr>
                <w:rFonts w:ascii="Calibri" w:eastAsia="Times New Roman" w:hAnsi="Calibri" w:cs="Calibri"/>
                <w:color w:val="000000"/>
                <w:sz w:val="16"/>
                <w:szCs w:val="16"/>
                <w:lang w:eastAsia="fr-FR"/>
              </w:rPr>
              <w:t>tion et la date d’octroi ; et</w:t>
            </w:r>
          </w:p>
          <w:p w:rsidR="005B0391" w:rsidRPr="00760930" w:rsidRDefault="005B0391" w:rsidP="00BC7652">
            <w:pPr>
              <w:pStyle w:val="Paragraphedeliste"/>
              <w:numPr>
                <w:ilvl w:val="0"/>
                <w:numId w:val="4"/>
              </w:numPr>
              <w:ind w:left="273" w:hanging="14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la durée de validité</w:t>
            </w:r>
            <w:r w:rsidR="00BC7652" w:rsidRPr="00760930">
              <w:rPr>
                <w:rFonts w:ascii="Calibri" w:eastAsia="Times New Roman" w:hAnsi="Calibri" w:cs="Calibri"/>
                <w:color w:val="000000"/>
                <w:sz w:val="16"/>
                <w:szCs w:val="16"/>
                <w:lang w:eastAsia="fr-FR"/>
              </w:rPr>
              <w:t>.</w:t>
            </w:r>
          </w:p>
          <w:p w:rsidR="005B0391" w:rsidRPr="00760930" w:rsidRDefault="005B0391"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p>
        </w:tc>
        <w:tc>
          <w:tcPr>
            <w:tcW w:w="977" w:type="dxa"/>
            <w:hideMark/>
          </w:tcPr>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B0F0"/>
                <w:sz w:val="16"/>
                <w:szCs w:val="16"/>
                <w:lang w:eastAsia="fr-FR"/>
              </w:rPr>
            </w:pPr>
            <w:r w:rsidRPr="00760930">
              <w:rPr>
                <w:rFonts w:ascii="Calibri" w:eastAsia="Times New Roman" w:hAnsi="Calibri" w:cs="Calibri"/>
                <w:b/>
                <w:bCs/>
                <w:color w:val="0000FF"/>
                <w:sz w:val="16"/>
                <w:szCs w:val="16"/>
                <w:lang w:eastAsia="fr-FR"/>
              </w:rPr>
              <w:t>Progrès Significatif</w:t>
            </w:r>
          </w:p>
        </w:tc>
      </w:tr>
      <w:tr w:rsidR="00A542BE" w:rsidRPr="00760930" w:rsidTr="00966F60">
        <w:trPr>
          <w:trHeight w:val="5100"/>
        </w:trPr>
        <w:tc>
          <w:tcPr>
            <w:cnfStyle w:val="001000000000" w:firstRow="0" w:lastRow="0" w:firstColumn="1" w:lastColumn="0" w:oddVBand="0" w:evenVBand="0" w:oddHBand="0" w:evenHBand="0" w:firstRowFirstColumn="0" w:firstRowLastColumn="0" w:lastRowFirstColumn="0" w:lastRowLastColumn="0"/>
            <w:tcW w:w="1165" w:type="dxa"/>
            <w:hideMark/>
          </w:tcPr>
          <w:p w:rsidR="0064052B" w:rsidRPr="00760930" w:rsidRDefault="0064052B" w:rsidP="00A22206">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lastRenderedPageBreak/>
              <w:t>Participation de l'Etat (2.6)</w:t>
            </w:r>
          </w:p>
        </w:tc>
        <w:tc>
          <w:tcPr>
            <w:tcW w:w="2716" w:type="dxa"/>
            <w:hideMark/>
          </w:tcPr>
          <w:p w:rsidR="005415A6" w:rsidRPr="00760930" w:rsidRDefault="0064052B" w:rsidP="005415A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6"/>
                <w:szCs w:val="16"/>
                <w:lang w:eastAsia="fr-FR"/>
              </w:rPr>
            </w:pPr>
            <w:r w:rsidRPr="00760930">
              <w:rPr>
                <w:rFonts w:ascii="Calibri" w:eastAsia="Times New Roman" w:hAnsi="Calibri" w:cs="Calibri"/>
                <w:b/>
                <w:bCs/>
                <w:color w:val="000000"/>
                <w:sz w:val="16"/>
                <w:szCs w:val="16"/>
                <w:lang w:eastAsia="fr-FR"/>
              </w:rPr>
              <w:t>De la participation de</w:t>
            </w:r>
            <w:r w:rsidR="005415A6" w:rsidRPr="00760930">
              <w:rPr>
                <w:rFonts w:ascii="Calibri" w:eastAsia="Times New Roman" w:hAnsi="Calibri" w:cs="Calibri"/>
                <w:b/>
                <w:bCs/>
                <w:color w:val="000000"/>
                <w:sz w:val="16"/>
                <w:szCs w:val="16"/>
                <w:lang w:eastAsia="fr-FR"/>
              </w:rPr>
              <w:t xml:space="preserve"> l’Etat</w:t>
            </w:r>
          </w:p>
          <w:p w:rsidR="0064052B" w:rsidRPr="00760930" w:rsidRDefault="0064052B" w:rsidP="005415A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br w:type="page"/>
              <w:t xml:space="preserve">Le Rapport ITIE 2015 et le Rapport complémentaire ITIE 2016 présentent une évaluation de la matérialité de la participation de l’État dans les secteurs minier, pétrolier et gazier, ainsi qu’une liste complète des entreprises d’État aux fins de la déclaration ITIE. Bien que les rapports décrivent les types de paiements, tant ceux qui sont exigés par la loi que ceux qui sont effectivement faits par les entreprises d’État au gouvernement, ils ne fournissent pas une description complète des droits statutaires des entreprises d’État en matière de non-répartition des bénéfices, de réinvestissements dans leurs activités et de financements de tiers (dette et </w:t>
            </w:r>
            <w:r w:rsidR="005415A6" w:rsidRPr="00760930">
              <w:rPr>
                <w:rFonts w:ascii="Calibri" w:eastAsia="Times New Roman" w:hAnsi="Calibri" w:cs="Calibri"/>
                <w:color w:val="000000"/>
                <w:sz w:val="16"/>
                <w:szCs w:val="16"/>
                <w:lang w:eastAsia="fr-FR"/>
              </w:rPr>
              <w:t>anticipations</w:t>
            </w:r>
            <w:r w:rsidRPr="00760930">
              <w:rPr>
                <w:rFonts w:ascii="Calibri" w:eastAsia="Times New Roman" w:hAnsi="Calibri" w:cs="Calibri"/>
                <w:color w:val="000000"/>
                <w:sz w:val="16"/>
                <w:szCs w:val="16"/>
                <w:lang w:eastAsia="fr-FR"/>
              </w:rPr>
              <w:t>).</w:t>
            </w:r>
            <w:r w:rsidRPr="00760930">
              <w:rPr>
                <w:rFonts w:ascii="Calibri" w:eastAsia="Times New Roman" w:hAnsi="Calibri" w:cs="Calibri"/>
                <w:color w:val="000000"/>
                <w:sz w:val="16"/>
                <w:szCs w:val="16"/>
                <w:lang w:eastAsia="fr-FR"/>
              </w:rPr>
              <w:br w:type="page"/>
            </w:r>
            <w:r w:rsidRPr="00760930">
              <w:rPr>
                <w:rFonts w:ascii="Calibri" w:eastAsia="Times New Roman" w:hAnsi="Calibri" w:cs="Calibri"/>
                <w:color w:val="000000"/>
                <w:sz w:val="16"/>
                <w:szCs w:val="16"/>
                <w:lang w:eastAsia="fr-FR"/>
              </w:rPr>
              <w:br w:type="page"/>
              <w:t>D</w:t>
            </w:r>
            <w:r w:rsidRPr="00760930">
              <w:rPr>
                <w:rFonts w:ascii="Calibri" w:eastAsia="Times New Roman" w:hAnsi="Calibri" w:cs="Calibri"/>
                <w:b/>
                <w:bCs/>
                <w:color w:val="000000"/>
                <w:sz w:val="16"/>
                <w:szCs w:val="16"/>
                <w:lang w:eastAsia="fr-FR"/>
              </w:rPr>
              <w:t>es règles et des pratiques courantes qui régissent les relations financières</w:t>
            </w:r>
            <w:r w:rsidRPr="00760930">
              <w:rPr>
                <w:rFonts w:ascii="Calibri" w:eastAsia="Times New Roman" w:hAnsi="Calibri" w:cs="Calibri"/>
                <w:color w:val="000000"/>
                <w:sz w:val="16"/>
                <w:szCs w:val="16"/>
                <w:lang w:eastAsia="fr-FR"/>
              </w:rPr>
              <w:br w:type="page"/>
              <w:t xml:space="preserve">Le Rapport complémentaire ITIE 2016 contient des informations étendues sur la pratique des relations financières entre neuf entreprises d’État aux revenus significatifs et l’État en 2016, bien que certaines des parties prenantes consultées aient soulevé des inquiétudes au sujet de l’exhaustivité et de la fiabilité des </w:t>
            </w:r>
            <w:r w:rsidRPr="00760930">
              <w:rPr>
                <w:rFonts w:ascii="Calibri" w:eastAsia="Times New Roman" w:hAnsi="Calibri" w:cs="Calibri"/>
                <w:color w:val="000000"/>
                <w:sz w:val="16"/>
                <w:szCs w:val="16"/>
                <w:lang w:eastAsia="fr-FR"/>
              </w:rPr>
              <w:lastRenderedPageBreak/>
              <w:t xml:space="preserve">états financiers non audités de certaines entreprises d’État, sur lesquelles le présent examen s’est appuyé. Les rapports fournissent une liste complète des entreprises dans lesquelles l’État et les entreprises d’État détiennent des participations, malgré le manque de clarté quant à l’exhaustivité des participations des entreprises d’État dans le secteur minier. </w:t>
            </w:r>
            <w:r w:rsidRPr="00760930">
              <w:rPr>
                <w:rFonts w:ascii="Calibri" w:eastAsia="Times New Roman" w:hAnsi="Calibri" w:cs="Calibri"/>
                <w:color w:val="000000"/>
                <w:sz w:val="16"/>
                <w:szCs w:val="16"/>
                <w:lang w:eastAsia="fr-FR"/>
              </w:rPr>
              <w:br w:type="page"/>
            </w:r>
            <w:r w:rsidRPr="00760930">
              <w:rPr>
                <w:rFonts w:ascii="Calibri" w:eastAsia="Times New Roman" w:hAnsi="Calibri" w:cs="Calibri"/>
                <w:color w:val="000000"/>
                <w:sz w:val="16"/>
                <w:szCs w:val="16"/>
                <w:lang w:eastAsia="fr-FR"/>
              </w:rPr>
              <w:br w:type="page"/>
              <w:t xml:space="preserve">Les rapports ne présentent pas une description claire des conditions associées à chaque participation de l’État et des entreprises d’État dans des entreprises extractives, notamment en ce qui concerne le niveau de responsabilité du gouvernement et des entreprises d’État dans le cadre de la couverture des dépenses aux différentes phases du cycle de projet, par exemple, les fonds propres entièrement payés, les fonds propres libres et les intérêts reportés. Les rapports indiquent les changements apportés aux participations directes du gouvernement dans des entreprises extractives au cours des exercices sous revue, mais ils ne mentionnent pas systématiquement les changements intervenus relativement à la détention par les entreprises d’État de parts dans des entreprises extractives. Bien que les rapports, notamment le Rapport complémentaire ITIE 2016, </w:t>
            </w:r>
            <w:r w:rsidR="005415A6" w:rsidRPr="00760930">
              <w:rPr>
                <w:rFonts w:ascii="Calibri" w:eastAsia="Times New Roman" w:hAnsi="Calibri" w:cs="Calibri"/>
                <w:color w:val="000000"/>
                <w:sz w:val="16"/>
                <w:szCs w:val="16"/>
                <w:lang w:eastAsia="fr-FR"/>
              </w:rPr>
              <w:t>c</w:t>
            </w:r>
            <w:r w:rsidRPr="00760930">
              <w:rPr>
                <w:rFonts w:ascii="Calibri" w:eastAsia="Times New Roman" w:hAnsi="Calibri" w:cs="Calibri"/>
                <w:color w:val="000000"/>
                <w:sz w:val="16"/>
                <w:szCs w:val="16"/>
                <w:lang w:eastAsia="fr-FR"/>
              </w:rPr>
              <w:t>ontiennent</w:t>
            </w:r>
            <w:r w:rsidR="005415A6" w:rsidRPr="00760930">
              <w:rPr>
                <w:rFonts w:ascii="Calibri" w:eastAsia="Times New Roman" w:hAnsi="Calibri" w:cs="Calibri"/>
                <w:color w:val="000000"/>
                <w:sz w:val="16"/>
                <w:szCs w:val="16"/>
                <w:lang w:eastAsia="fr-FR"/>
              </w:rPr>
              <w:t xml:space="preserve"> </w:t>
            </w:r>
            <w:r w:rsidRPr="00760930">
              <w:rPr>
                <w:rFonts w:ascii="Calibri" w:eastAsia="Times New Roman" w:hAnsi="Calibri" w:cs="Calibri"/>
                <w:color w:val="000000"/>
                <w:sz w:val="16"/>
                <w:szCs w:val="16"/>
                <w:lang w:eastAsia="fr-FR"/>
              </w:rPr>
              <w:t xml:space="preserve">des informations sur les prêts et les garanties octroyés aux entreprises extractives par des entreprises d’État, mais pas par l’État, ils ne permettent pas de déterminer </w:t>
            </w:r>
            <w:r w:rsidRPr="00760930">
              <w:rPr>
                <w:rFonts w:ascii="Calibri" w:eastAsia="Times New Roman" w:hAnsi="Calibri" w:cs="Calibri"/>
                <w:color w:val="000000"/>
                <w:sz w:val="16"/>
                <w:szCs w:val="16"/>
                <w:lang w:eastAsia="fr-FR"/>
              </w:rPr>
              <w:lastRenderedPageBreak/>
              <w:t>clairement le niveau d’exhaustivité de ces divulgations. Malgré les efforts importants déployés par la RDC pour améliorer la transparence des relations financières entre les entreprises d’État et le gouvernement</w:t>
            </w:r>
            <w:r w:rsidRPr="00D55F87">
              <w:rPr>
                <w:rFonts w:ascii="Calibri" w:eastAsia="Times New Roman" w:hAnsi="Calibri" w:cs="Calibri"/>
                <w:b/>
                <w:i/>
                <w:color w:val="000000"/>
                <w:sz w:val="16"/>
                <w:szCs w:val="16"/>
                <w:lang w:eastAsia="fr-FR"/>
              </w:rPr>
              <w:t xml:space="preserve">, le Secrétariat estime que l’objectif global de </w:t>
            </w:r>
            <w:r w:rsidR="005415A6" w:rsidRPr="00D55F87">
              <w:rPr>
                <w:rFonts w:ascii="Calibri" w:eastAsia="Times New Roman" w:hAnsi="Calibri" w:cs="Calibri"/>
                <w:b/>
                <w:i/>
                <w:color w:val="000000"/>
                <w:sz w:val="16"/>
                <w:szCs w:val="16"/>
                <w:lang w:eastAsia="fr-FR"/>
              </w:rPr>
              <w:t>transparence</w:t>
            </w:r>
            <w:r w:rsidRPr="00D55F87">
              <w:rPr>
                <w:rFonts w:ascii="Calibri" w:eastAsia="Times New Roman" w:hAnsi="Calibri" w:cs="Calibri"/>
                <w:b/>
                <w:i/>
                <w:color w:val="000000"/>
                <w:sz w:val="16"/>
                <w:szCs w:val="16"/>
                <w:lang w:eastAsia="fr-FR"/>
              </w:rPr>
              <w:t xml:space="preserve"> dans la participation de l’État n’est pas encore pleinement réalisé.</w:t>
            </w:r>
            <w:r w:rsidRPr="00760930">
              <w:rPr>
                <w:rFonts w:ascii="Calibri" w:eastAsia="Times New Roman" w:hAnsi="Calibri" w:cs="Calibri"/>
                <w:color w:val="000000"/>
                <w:sz w:val="16"/>
                <w:szCs w:val="16"/>
                <w:lang w:eastAsia="fr-FR"/>
              </w:rPr>
              <w:t xml:space="preserve"> </w:t>
            </w:r>
          </w:p>
        </w:tc>
        <w:tc>
          <w:tcPr>
            <w:tcW w:w="1004" w:type="dxa"/>
            <w:hideMark/>
          </w:tcPr>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 xml:space="preserve">Le validateur a approuvé les conclusions du SI ainsi que le niveau de </w:t>
            </w:r>
            <w:r w:rsidRPr="007F7F67">
              <w:rPr>
                <w:rFonts w:ascii="Calibri" w:eastAsia="Times New Roman" w:hAnsi="Calibri" w:cs="Calibri"/>
                <w:b/>
                <w:color w:val="FF0000"/>
                <w:sz w:val="16"/>
                <w:szCs w:val="16"/>
                <w:lang w:eastAsia="fr-FR"/>
              </w:rPr>
              <w:t>progrès significatif</w:t>
            </w:r>
            <w:r w:rsidRPr="00760930">
              <w:rPr>
                <w:rFonts w:ascii="Calibri" w:eastAsia="Times New Roman" w:hAnsi="Calibri" w:cs="Calibri"/>
                <w:color w:val="000000"/>
                <w:sz w:val="16"/>
                <w:szCs w:val="16"/>
                <w:lang w:eastAsia="fr-FR"/>
              </w:rPr>
              <w:t xml:space="preserve"> </w:t>
            </w:r>
            <w:r w:rsidRPr="00760930">
              <w:rPr>
                <w:rFonts w:ascii="Calibri" w:eastAsia="Times New Roman" w:hAnsi="Calibri" w:cs="Calibri"/>
                <w:color w:val="000000"/>
                <w:sz w:val="16"/>
                <w:szCs w:val="16"/>
                <w:lang w:eastAsia="fr-FR"/>
              </w:rPr>
              <w:br w:type="page"/>
            </w:r>
          </w:p>
        </w:tc>
        <w:tc>
          <w:tcPr>
            <w:tcW w:w="2072" w:type="dxa"/>
            <w:hideMark/>
          </w:tcPr>
          <w:p w:rsidR="00F207D0" w:rsidRDefault="00F207D0"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Pr>
                <w:rFonts w:ascii="Calibri" w:eastAsia="Times New Roman" w:hAnsi="Calibri" w:cs="Calibri"/>
                <w:color w:val="000000"/>
                <w:sz w:val="16"/>
                <w:szCs w:val="16"/>
                <w:lang w:eastAsia="fr-FR"/>
              </w:rPr>
              <w:t>Conformément à l’Exigence 2.6 :</w:t>
            </w:r>
          </w:p>
          <w:p w:rsidR="00F207D0" w:rsidRDefault="0064052B" w:rsidP="00F207D0">
            <w:pPr>
              <w:pStyle w:val="Paragraphedeliste"/>
              <w:numPr>
                <w:ilvl w:val="0"/>
                <w:numId w:val="10"/>
              </w:numPr>
              <w:tabs>
                <w:tab w:val="left" w:pos="182"/>
              </w:tabs>
              <w:ind w:left="0" w:firstLine="29"/>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la RDC devra veiller à dresser une liste publique et complète des entreprises extractives dans lesquelles le gouvernement ou toute entreprise d’État détient des participations, à divulguer tout changement intervenu au cours de l’exercice sous revue et à fournir une description des conditions associées à la participation du gouvernement ou des entreprises d’État.</w:t>
            </w:r>
          </w:p>
          <w:p w:rsidR="00F207D0" w:rsidRDefault="0064052B" w:rsidP="00F207D0">
            <w:pPr>
              <w:pStyle w:val="Paragraphedeliste"/>
              <w:numPr>
                <w:ilvl w:val="0"/>
                <w:numId w:val="10"/>
              </w:numPr>
              <w:tabs>
                <w:tab w:val="left" w:pos="182"/>
              </w:tabs>
              <w:ind w:left="0" w:firstLine="29"/>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 La RDC devra s’assurer que les règles et les pratiques courantes qui régissent les relations financières entre le gouvernement et les entreprises d’État, telles que celles qui régissant les transferts de fonds entre les entreprises d’État et l’État lui-même, les bénéfices non répartis, les réinvestissements et les </w:t>
            </w:r>
            <w:r w:rsidRPr="00F207D0">
              <w:rPr>
                <w:rFonts w:ascii="Calibri" w:eastAsia="Times New Roman" w:hAnsi="Calibri" w:cs="Calibri"/>
                <w:color w:val="000000"/>
                <w:sz w:val="16"/>
                <w:szCs w:val="16"/>
                <w:lang w:eastAsia="fr-FR"/>
              </w:rPr>
              <w:lastRenderedPageBreak/>
              <w:t xml:space="preserve">financements par des tiers, soient accessibles au public. </w:t>
            </w:r>
          </w:p>
          <w:p w:rsidR="0064052B" w:rsidRPr="00F207D0" w:rsidRDefault="00F207D0" w:rsidP="00F207D0">
            <w:pPr>
              <w:pStyle w:val="Paragraphedeliste"/>
              <w:numPr>
                <w:ilvl w:val="0"/>
                <w:numId w:val="10"/>
              </w:numPr>
              <w:tabs>
                <w:tab w:val="left" w:pos="182"/>
              </w:tabs>
              <w:ind w:left="0" w:firstLine="29"/>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Pr>
                <w:rFonts w:ascii="Calibri" w:eastAsia="Times New Roman" w:hAnsi="Calibri" w:cs="Calibri"/>
                <w:color w:val="000000"/>
                <w:sz w:val="16"/>
                <w:szCs w:val="16"/>
                <w:lang w:eastAsia="fr-FR"/>
              </w:rPr>
              <w:t>L</w:t>
            </w:r>
            <w:r w:rsidR="0064052B" w:rsidRPr="00F207D0">
              <w:rPr>
                <w:rFonts w:ascii="Calibri" w:eastAsia="Times New Roman" w:hAnsi="Calibri" w:cs="Calibri"/>
                <w:color w:val="000000"/>
                <w:sz w:val="16"/>
                <w:szCs w:val="16"/>
                <w:lang w:eastAsia="fr-FR"/>
              </w:rPr>
              <w:t xml:space="preserve">a RDC devra faire en sorte que les conditions des prêts et des garanties de prêts octroyés par l’État et les entreprises d’État à des entreprises extractives soient divulguées au public dans leur intégralité. </w:t>
            </w:r>
          </w:p>
        </w:tc>
        <w:tc>
          <w:tcPr>
            <w:tcW w:w="1617" w:type="dxa"/>
            <w:hideMark/>
          </w:tcPr>
          <w:p w:rsidR="0064052B" w:rsidRPr="00760930" w:rsidRDefault="005415A6"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D'accord avec  le niveau de progrès significatif, mais avec les précisions ci-contre du C.E</w:t>
            </w:r>
          </w:p>
        </w:tc>
        <w:tc>
          <w:tcPr>
            <w:tcW w:w="5118" w:type="dxa"/>
            <w:hideMark/>
          </w:tcPr>
          <w:p w:rsidR="005B0391"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sz w:val="16"/>
                <w:szCs w:val="16"/>
                <w:lang w:eastAsia="fr-FR"/>
              </w:rPr>
              <w:t xml:space="preserve">Les actions visant à rencontrer la recommandation 8 du </w:t>
            </w:r>
            <w:r w:rsidR="005415A6" w:rsidRPr="00760930">
              <w:rPr>
                <w:rFonts w:ascii="Calibri" w:eastAsia="Times New Roman" w:hAnsi="Calibri" w:cs="Calibri"/>
                <w:sz w:val="16"/>
                <w:szCs w:val="16"/>
                <w:lang w:eastAsia="fr-FR"/>
              </w:rPr>
              <w:t>Secrétariat</w:t>
            </w:r>
            <w:r w:rsidRPr="00760930">
              <w:rPr>
                <w:rFonts w:ascii="Calibri" w:eastAsia="Times New Roman" w:hAnsi="Calibri" w:cs="Calibri"/>
                <w:sz w:val="16"/>
                <w:szCs w:val="16"/>
                <w:lang w:eastAsia="fr-FR"/>
              </w:rPr>
              <w:t xml:space="preserve"> International seront menées par le GMP.</w:t>
            </w:r>
          </w:p>
          <w:p w:rsidR="005415A6" w:rsidRPr="00760930" w:rsidRDefault="005415A6"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6"/>
                <w:szCs w:val="6"/>
                <w:lang w:eastAsia="fr-FR"/>
              </w:rPr>
            </w:pPr>
          </w:p>
          <w:p w:rsidR="005415A6" w:rsidRPr="00760930" w:rsidRDefault="005415A6" w:rsidP="005415A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6"/>
                <w:szCs w:val="16"/>
                <w:lang w:eastAsia="fr-FR"/>
              </w:rPr>
            </w:pPr>
            <w:r w:rsidRPr="00760930">
              <w:rPr>
                <w:rFonts w:ascii="Calibri" w:eastAsia="Times New Roman" w:hAnsi="Calibri" w:cs="Calibri"/>
                <w:b/>
                <w:bCs/>
                <w:sz w:val="16"/>
                <w:szCs w:val="16"/>
                <w:u w:val="single"/>
                <w:lang w:eastAsia="fr-FR"/>
              </w:rPr>
              <w:t>Précisions du C.E</w:t>
            </w:r>
            <w:r w:rsidRPr="00760930">
              <w:rPr>
                <w:rFonts w:ascii="Calibri" w:eastAsia="Times New Roman" w:hAnsi="Calibri" w:cs="Calibri"/>
                <w:b/>
                <w:bCs/>
                <w:sz w:val="16"/>
                <w:szCs w:val="16"/>
                <w:lang w:eastAsia="fr-FR"/>
              </w:rPr>
              <w:t xml:space="preserve"> : </w:t>
            </w:r>
          </w:p>
          <w:p w:rsidR="005415A6" w:rsidRPr="00760930" w:rsidRDefault="005415A6"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64052B" w:rsidRPr="00760930" w:rsidRDefault="0064052B"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sz w:val="16"/>
                <w:szCs w:val="16"/>
                <w:lang w:eastAsia="fr-FR"/>
              </w:rPr>
              <w:t>Concernant le statut de SIMCO, le rapport contextuel documente largement le fait que l’entreprise SIMCO ne p</w:t>
            </w:r>
            <w:r w:rsidR="005B0391" w:rsidRPr="00760930">
              <w:rPr>
                <w:rFonts w:ascii="Calibri" w:eastAsia="Times New Roman" w:hAnsi="Calibri" w:cs="Calibri"/>
                <w:sz w:val="16"/>
                <w:szCs w:val="16"/>
                <w:lang w:eastAsia="fr-FR"/>
              </w:rPr>
              <w:t>eut être considérée comme une Entreprise publique (EP)</w:t>
            </w:r>
            <w:r w:rsidRPr="00760930">
              <w:rPr>
                <w:rFonts w:ascii="Calibri" w:eastAsia="Times New Roman" w:hAnsi="Calibri" w:cs="Calibri"/>
                <w:sz w:val="16"/>
                <w:szCs w:val="16"/>
                <w:lang w:eastAsia="fr-FR"/>
              </w:rPr>
              <w:t xml:space="preserve"> au regard de </w:t>
            </w:r>
            <w:r w:rsidR="005B0391" w:rsidRPr="00760930">
              <w:rPr>
                <w:rFonts w:ascii="Calibri" w:eastAsia="Times New Roman" w:hAnsi="Calibri" w:cs="Calibri"/>
                <w:sz w:val="16"/>
                <w:szCs w:val="16"/>
                <w:lang w:eastAsia="fr-FR"/>
              </w:rPr>
              <w:t>la définition d’une EP</w:t>
            </w:r>
            <w:r w:rsidRPr="00760930">
              <w:rPr>
                <w:rFonts w:ascii="Calibri" w:eastAsia="Times New Roman" w:hAnsi="Calibri" w:cs="Calibri"/>
                <w:sz w:val="16"/>
                <w:szCs w:val="16"/>
                <w:lang w:eastAsia="fr-FR"/>
              </w:rPr>
              <w:t xml:space="preserve"> contenue dans l’article 2 de la Loi n°08/010 du 07 juillet 2008. Le rapport précise toutefois qu’en raison de ses participations dans les entreprises extractives (KCC et SICOMINES), SIMCO a été retenue dans le périmètre de conciliation. Rappelons que SIMCO a intégré le périmètre de conciliation depuis le rapport ITIE 2011 où elle avait été répertoriée comme une EP mais en considération de la définition d’une EP telle que précisée dans le texte légale ci-haut évoqué,  SIMCO n’a plus été considérée comme une EP au sens strict de l’article précité. Notons que SIMCO</w:t>
            </w:r>
            <w:r w:rsidR="005B0391" w:rsidRPr="00760930">
              <w:rPr>
                <w:rFonts w:ascii="Calibri" w:eastAsia="Times New Roman" w:hAnsi="Calibri" w:cs="Calibri"/>
                <w:sz w:val="16"/>
                <w:szCs w:val="16"/>
                <w:lang w:eastAsia="fr-FR"/>
              </w:rPr>
              <w:t xml:space="preserve">, en tant entreprise conjointe de deux EP, </w:t>
            </w:r>
            <w:r w:rsidRPr="00760930">
              <w:rPr>
                <w:rFonts w:ascii="Calibri" w:eastAsia="Times New Roman" w:hAnsi="Calibri" w:cs="Calibri"/>
                <w:sz w:val="16"/>
                <w:szCs w:val="16"/>
                <w:lang w:eastAsia="fr-FR"/>
              </w:rPr>
              <w:t xml:space="preserve"> a toujours été sollicitée durant  la détermination des différents cadrages à communiquer les informations concernant les éventuelles recettes contractuelles issues des partenariats où elle détient des participations. Dès lors, SIMCO a toujours indiqué n’avoir rien reçu des entreprises dans lesquelles  elle détient des participations. Cependant, il convient d’informer qu’à la suite de la collecte des données pour le besoin  du cadrage des exercices 2017 et 2018, SIMCO a renseigné avoir perçu en mai 2018 un montant de USD  13 226 340, 22 au titre de dividendes de SICOMINES pour les exercices 2016 et 2017 que SIMCO dit avoir dir</w:t>
            </w:r>
            <w:r w:rsidR="0009159B" w:rsidRPr="00760930">
              <w:rPr>
                <w:rFonts w:ascii="Calibri" w:eastAsia="Times New Roman" w:hAnsi="Calibri" w:cs="Calibri"/>
                <w:sz w:val="16"/>
                <w:szCs w:val="16"/>
                <w:lang w:eastAsia="fr-FR"/>
              </w:rPr>
              <w:t xml:space="preserve">ectement reversé à la GCM. </w:t>
            </w:r>
            <w:r w:rsidRPr="00760930">
              <w:rPr>
                <w:rFonts w:ascii="Calibri" w:eastAsia="Times New Roman" w:hAnsi="Calibri" w:cs="Calibri"/>
                <w:sz w:val="16"/>
                <w:szCs w:val="16"/>
                <w:lang w:eastAsia="fr-FR"/>
              </w:rPr>
              <w:br w:type="page"/>
            </w:r>
            <w:r w:rsidRPr="00760930">
              <w:rPr>
                <w:rFonts w:ascii="Calibri" w:eastAsia="Times New Roman" w:hAnsi="Calibri" w:cs="Calibri"/>
                <w:sz w:val="16"/>
                <w:szCs w:val="16"/>
                <w:lang w:eastAsia="fr-FR"/>
              </w:rPr>
              <w:br w:type="page"/>
              <w:t xml:space="preserve">S’agissant de la présentation  des règles et des pratiques en vigueur concernant les bénéfices non répartis, les réinvestissements et les financements de tiers, nous soutenons l’analyse selon laquelle les EP étant régies par l’Acte uniforme  de l’OHADA sur les Sociétés Commerciales comme indiqué dans le rapport complémentaire,  ont le droit de conserver des bénéfices, de réinvestir les bénéfices et d’obtenir des financements de leur dette par des tiers selon les décisions </w:t>
            </w:r>
            <w:r w:rsidRPr="00760930">
              <w:rPr>
                <w:rFonts w:ascii="Calibri" w:eastAsia="Times New Roman" w:hAnsi="Calibri" w:cs="Calibri"/>
                <w:sz w:val="16"/>
                <w:szCs w:val="16"/>
                <w:lang w:eastAsia="fr-FR"/>
              </w:rPr>
              <w:lastRenderedPageBreak/>
              <w:t xml:space="preserve">de leurs assemblées générales. </w:t>
            </w:r>
            <w:r w:rsidRPr="00760930">
              <w:rPr>
                <w:rFonts w:ascii="Calibri" w:eastAsia="Times New Roman" w:hAnsi="Calibri" w:cs="Calibri"/>
                <w:sz w:val="16"/>
                <w:szCs w:val="16"/>
                <w:lang w:eastAsia="fr-FR"/>
              </w:rPr>
              <w:br w:type="page"/>
            </w:r>
            <w:r w:rsidRPr="00760930">
              <w:rPr>
                <w:rFonts w:ascii="Calibri" w:eastAsia="Times New Roman" w:hAnsi="Calibri" w:cs="Calibri"/>
                <w:sz w:val="16"/>
                <w:szCs w:val="16"/>
                <w:lang w:eastAsia="fr-FR"/>
              </w:rPr>
              <w:br w:type="page"/>
              <w:t xml:space="preserve">Pour ce qui est de la mention des changements intervenus dans les participations des  EP dans les entreprises extractives, le rapport note clairement qu’aucune modification dans la participation n’est intervenue entre 2015 et 2016 dans le secteur pétrolier. Pour le secteur minier, l’analyse de l’état des participations du rapport 2015 et celui du rapport 2016 révèle des changements des participations. Par ex : GCM dans  </w:t>
            </w:r>
            <w:r w:rsidR="005415A6" w:rsidRPr="00760930">
              <w:rPr>
                <w:rFonts w:ascii="Calibri" w:eastAsia="Times New Roman" w:hAnsi="Calibri" w:cs="Calibri"/>
                <w:sz w:val="16"/>
                <w:szCs w:val="16"/>
                <w:lang w:eastAsia="fr-FR"/>
              </w:rPr>
              <w:t xml:space="preserve">BOSS MINING </w:t>
            </w:r>
            <w:r w:rsidRPr="00760930">
              <w:rPr>
                <w:rFonts w:ascii="Calibri" w:eastAsia="Times New Roman" w:hAnsi="Calibri" w:cs="Calibri"/>
                <w:sz w:val="16"/>
                <w:szCs w:val="16"/>
                <w:lang w:eastAsia="fr-FR"/>
              </w:rPr>
              <w:t>:   30 % en 2015 et  20 %   en 2016 ; COMINI</w:t>
            </w:r>
            <w:r w:rsidR="005415A6" w:rsidRPr="00760930">
              <w:rPr>
                <w:rFonts w:ascii="Calibri" w:eastAsia="Times New Roman" w:hAnsi="Calibri" w:cs="Calibri"/>
                <w:sz w:val="16"/>
                <w:szCs w:val="16"/>
                <w:lang w:eastAsia="fr-FR"/>
              </w:rPr>
              <w:t>È</w:t>
            </w:r>
            <w:r w:rsidRPr="00760930">
              <w:rPr>
                <w:rFonts w:ascii="Calibri" w:eastAsia="Times New Roman" w:hAnsi="Calibri" w:cs="Calibri"/>
                <w:sz w:val="16"/>
                <w:szCs w:val="16"/>
                <w:lang w:eastAsia="fr-FR"/>
              </w:rPr>
              <w:t>RE dans SOMIMI : 32 %  en 2015 et  28 % 2016.</w:t>
            </w:r>
            <w:r w:rsidRPr="00760930">
              <w:rPr>
                <w:rFonts w:ascii="Calibri" w:eastAsia="Times New Roman" w:hAnsi="Calibri" w:cs="Calibri"/>
                <w:sz w:val="16"/>
                <w:szCs w:val="16"/>
                <w:lang w:eastAsia="fr-FR"/>
              </w:rPr>
              <w:br w:type="page"/>
            </w:r>
            <w:r w:rsidRPr="00760930">
              <w:rPr>
                <w:rFonts w:ascii="Calibri" w:eastAsia="Times New Roman" w:hAnsi="Calibri" w:cs="Calibri"/>
                <w:sz w:val="16"/>
                <w:szCs w:val="16"/>
                <w:lang w:eastAsia="fr-FR"/>
              </w:rPr>
              <w:br w:type="page"/>
              <w:t>Toutefois, le C</w:t>
            </w:r>
            <w:r w:rsidR="005415A6" w:rsidRPr="00760930">
              <w:rPr>
                <w:rFonts w:ascii="Calibri" w:eastAsia="Times New Roman" w:hAnsi="Calibri" w:cs="Calibri"/>
                <w:sz w:val="16"/>
                <w:szCs w:val="16"/>
                <w:lang w:eastAsia="fr-FR"/>
              </w:rPr>
              <w:t>.</w:t>
            </w:r>
            <w:r w:rsidRPr="00760930">
              <w:rPr>
                <w:rFonts w:ascii="Calibri" w:eastAsia="Times New Roman" w:hAnsi="Calibri" w:cs="Calibri"/>
                <w:sz w:val="16"/>
                <w:szCs w:val="16"/>
                <w:lang w:eastAsia="fr-FR"/>
              </w:rPr>
              <w:t>E s’engage à préciser dans les prochains rapports les changements intervenus dans les participations des EP dans les entreprises extractives.</w:t>
            </w:r>
          </w:p>
          <w:p w:rsidR="005B0391" w:rsidRPr="00760930" w:rsidRDefault="005B0391"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5B0391" w:rsidRPr="00760930" w:rsidRDefault="005B0391"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sz w:val="16"/>
                <w:szCs w:val="16"/>
                <w:lang w:eastAsia="fr-FR"/>
              </w:rPr>
              <w:t xml:space="preserve">Le rapport </w:t>
            </w:r>
            <w:r w:rsidR="008672C8" w:rsidRPr="00760930">
              <w:rPr>
                <w:rFonts w:ascii="Calibri" w:eastAsia="Times New Roman" w:hAnsi="Calibri" w:cs="Calibri"/>
                <w:sz w:val="16"/>
                <w:szCs w:val="16"/>
                <w:lang w:eastAsia="fr-FR"/>
              </w:rPr>
              <w:t xml:space="preserve">contextuel et le rapport complémentaire </w:t>
            </w:r>
            <w:r w:rsidRPr="00760930">
              <w:rPr>
                <w:rFonts w:ascii="Calibri" w:eastAsia="Times New Roman" w:hAnsi="Calibri" w:cs="Calibri"/>
                <w:sz w:val="16"/>
                <w:szCs w:val="16"/>
                <w:lang w:eastAsia="fr-FR"/>
              </w:rPr>
              <w:t>2016 décri</w:t>
            </w:r>
            <w:r w:rsidR="008672C8" w:rsidRPr="00760930">
              <w:rPr>
                <w:rFonts w:ascii="Calibri" w:eastAsia="Times New Roman" w:hAnsi="Calibri" w:cs="Calibri"/>
                <w:sz w:val="16"/>
                <w:szCs w:val="16"/>
                <w:lang w:eastAsia="fr-FR"/>
              </w:rPr>
              <w:t>ven</w:t>
            </w:r>
            <w:r w:rsidRPr="00760930">
              <w:rPr>
                <w:rFonts w:ascii="Calibri" w:eastAsia="Times New Roman" w:hAnsi="Calibri" w:cs="Calibri"/>
                <w:sz w:val="16"/>
                <w:szCs w:val="16"/>
                <w:lang w:eastAsia="fr-FR"/>
              </w:rPr>
              <w:t>t les relations financières entre l’E</w:t>
            </w:r>
            <w:r w:rsidR="005415A6" w:rsidRPr="00760930">
              <w:rPr>
                <w:rFonts w:ascii="Calibri" w:eastAsia="Times New Roman" w:hAnsi="Calibri" w:cs="Calibri"/>
                <w:sz w:val="16"/>
                <w:szCs w:val="16"/>
                <w:lang w:eastAsia="fr-FR"/>
              </w:rPr>
              <w:t xml:space="preserve">P </w:t>
            </w:r>
            <w:r w:rsidRPr="00760930">
              <w:rPr>
                <w:rFonts w:ascii="Calibri" w:eastAsia="Times New Roman" w:hAnsi="Calibri" w:cs="Calibri"/>
                <w:sz w:val="16"/>
                <w:szCs w:val="16"/>
                <w:lang w:eastAsia="fr-FR"/>
              </w:rPr>
              <w:t>et l’Etat</w:t>
            </w:r>
            <w:r w:rsidR="008672C8" w:rsidRPr="00760930">
              <w:rPr>
                <w:rFonts w:ascii="Calibri" w:eastAsia="Times New Roman" w:hAnsi="Calibri" w:cs="Calibri"/>
                <w:sz w:val="16"/>
                <w:szCs w:val="16"/>
                <w:lang w:eastAsia="fr-FR"/>
              </w:rPr>
              <w:t>.</w:t>
            </w:r>
          </w:p>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6"/>
                <w:szCs w:val="6"/>
              </w:rPr>
            </w:pPr>
          </w:p>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sidRPr="00760930">
              <w:rPr>
                <w:rFonts w:ascii="Calibri" w:hAnsi="Calibri" w:cs="Calibri"/>
                <w:color w:val="000000"/>
                <w:sz w:val="16"/>
                <w:szCs w:val="16"/>
              </w:rPr>
              <w:t>La section 4.3.5 du rapport 2015 présente chronologiquement :</w:t>
            </w:r>
          </w:p>
          <w:p w:rsidR="008672C8" w:rsidRPr="00760930" w:rsidRDefault="008672C8" w:rsidP="00760930">
            <w:pPr>
              <w:pStyle w:val="Paragraphedeliste"/>
              <w:numPr>
                <w:ilvl w:val="0"/>
                <w:numId w:val="6"/>
              </w:numPr>
              <w:ind w:left="147" w:hanging="14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la situation des participations des EP dans le secteur extractif ;</w:t>
            </w:r>
          </w:p>
          <w:p w:rsidR="008672C8" w:rsidRPr="00760930" w:rsidRDefault="008672C8" w:rsidP="00760930">
            <w:pPr>
              <w:pStyle w:val="Paragraphedeliste"/>
              <w:numPr>
                <w:ilvl w:val="0"/>
                <w:numId w:val="6"/>
              </w:numPr>
              <w:ind w:left="147" w:hanging="14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La réglementation en vigueur régissant la Cession des actifs et parts sociales des Entreprises d’Etat ;</w:t>
            </w:r>
          </w:p>
          <w:p w:rsidR="005B0391" w:rsidRPr="00760930" w:rsidRDefault="008672C8" w:rsidP="00760930">
            <w:pPr>
              <w:pStyle w:val="Paragraphedeliste"/>
              <w:numPr>
                <w:ilvl w:val="0"/>
                <w:numId w:val="6"/>
              </w:numPr>
              <w:ind w:left="147" w:hanging="14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les cas de cessions de titres et de parts sociales identifiés (Point 2 de la section 7 : « Recommandation »).</w:t>
            </w:r>
          </w:p>
        </w:tc>
        <w:tc>
          <w:tcPr>
            <w:tcW w:w="977" w:type="dxa"/>
            <w:hideMark/>
          </w:tcPr>
          <w:p w:rsidR="0064052B" w:rsidRPr="00760930" w:rsidRDefault="005415A6" w:rsidP="00A222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B0F0"/>
                <w:sz w:val="16"/>
                <w:szCs w:val="16"/>
                <w:lang w:eastAsia="fr-FR"/>
              </w:rPr>
            </w:pPr>
            <w:r w:rsidRPr="00760930">
              <w:rPr>
                <w:rFonts w:ascii="Calibri" w:eastAsia="Times New Roman" w:hAnsi="Calibri" w:cs="Calibri"/>
                <w:b/>
                <w:bCs/>
                <w:color w:val="0000FF"/>
                <w:sz w:val="16"/>
                <w:szCs w:val="16"/>
                <w:lang w:eastAsia="fr-FR"/>
              </w:rPr>
              <w:lastRenderedPageBreak/>
              <w:t>Progrès Significatif</w:t>
            </w:r>
          </w:p>
        </w:tc>
      </w:tr>
      <w:tr w:rsidR="008672C8" w:rsidRPr="00760930" w:rsidTr="00966F60">
        <w:trPr>
          <w:trHeight w:val="3312"/>
        </w:trPr>
        <w:tc>
          <w:tcPr>
            <w:cnfStyle w:val="001000000000" w:firstRow="0" w:lastRow="0" w:firstColumn="1" w:lastColumn="0" w:oddVBand="0" w:evenVBand="0" w:oddHBand="0" w:evenHBand="0" w:firstRowFirstColumn="0" w:firstRowLastColumn="0" w:lastRowFirstColumn="0" w:lastRowLastColumn="0"/>
            <w:tcW w:w="1165" w:type="dxa"/>
            <w:hideMark/>
          </w:tcPr>
          <w:p w:rsidR="008672C8" w:rsidRPr="00760930" w:rsidRDefault="008672C8" w:rsidP="008672C8">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lastRenderedPageBreak/>
              <w:t xml:space="preserve">Données sur la production (3.2) </w:t>
            </w:r>
          </w:p>
        </w:tc>
        <w:tc>
          <w:tcPr>
            <w:tcW w:w="2716"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00"/>
                <w:sz w:val="16"/>
                <w:szCs w:val="16"/>
                <w:lang w:eastAsia="fr-FR"/>
              </w:rPr>
              <w:t>De la valorisation de la production</w:t>
            </w:r>
            <w:r w:rsidRPr="00760930">
              <w:rPr>
                <w:rFonts w:ascii="Calibri" w:eastAsia="Times New Roman" w:hAnsi="Calibri" w:cs="Calibri"/>
                <w:color w:val="000000"/>
                <w:sz w:val="16"/>
                <w:szCs w:val="16"/>
                <w:lang w:eastAsia="fr-FR"/>
              </w:rPr>
              <w:br/>
              <w:t xml:space="preserve">Les volumes de production ont été divulgués sous forme agrégée et par matière première dans le cadre de la déclaration ITIE pour 2015 et 2016, et certaines données disponibles étaient  désagrégées par entreprise. Le site Internet du ministère des Mines présente une divulgation ponctuelle des volumes de production pour les minéraux, sous forme agrégée, par matière première et par mois, jusqu’à la première moitié de l’année 2018, en fournissant une assurance qualité complémentaire dans le cadre du rapprochement des chiffres des entreprises et du gouvernement. Les données compilées par la Division Provinciale des Mines de l’ancienne province du Katanga présentent également des divulgations sur la production minière par entreprise et par mois jusqu’en octobre 2018. Les volumes de production dans le secteur pétrolier sont disponibles au travers de la déclaration ITIE pour 2015 et 2016. Aucune des informations sur l’évaluation de la production dans les secteurs minier, pétrolier et gazier n’est accessible au public. Toutefois, les parties prenantes ont pris des mesures dans le cadre de l’ITIE pour convenir d’une méthode de calcul de la valeur de la production dans le secteur minier. De plus, des changements réglementaires encourageants ont été  instaurés en 2018, de même que des projets du ministère des Mines en </w:t>
            </w:r>
            <w:r w:rsidRPr="00760930">
              <w:rPr>
                <w:rFonts w:ascii="Calibri" w:eastAsia="Times New Roman" w:hAnsi="Calibri" w:cs="Calibri"/>
                <w:color w:val="000000"/>
                <w:sz w:val="16"/>
                <w:szCs w:val="16"/>
                <w:lang w:eastAsia="fr-FR"/>
              </w:rPr>
              <w:lastRenderedPageBreak/>
              <w:t xml:space="preserve">matière d’amélioration de la déclaration sur les prix internationaux. </w:t>
            </w:r>
          </w:p>
        </w:tc>
        <w:tc>
          <w:tcPr>
            <w:tcW w:w="1004"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 xml:space="preserve">Le validateur a approuvé les conclusions du SI ainsi que le niveau de </w:t>
            </w:r>
            <w:r w:rsidRPr="007F7F67">
              <w:rPr>
                <w:rFonts w:ascii="Calibri" w:eastAsia="Times New Roman" w:hAnsi="Calibri" w:cs="Calibri"/>
                <w:b/>
                <w:color w:val="FF0000"/>
                <w:sz w:val="16"/>
                <w:szCs w:val="16"/>
                <w:lang w:eastAsia="fr-FR"/>
              </w:rPr>
              <w:t>progrès significatif</w:t>
            </w:r>
            <w:r w:rsidRPr="00760930">
              <w:rPr>
                <w:rFonts w:ascii="Calibri" w:eastAsia="Times New Roman" w:hAnsi="Calibri" w:cs="Calibri"/>
                <w:color w:val="000000"/>
                <w:sz w:val="16"/>
                <w:szCs w:val="16"/>
                <w:lang w:eastAsia="fr-FR"/>
              </w:rPr>
              <w:t xml:space="preserve"> </w:t>
            </w:r>
          </w:p>
        </w:tc>
        <w:tc>
          <w:tcPr>
            <w:tcW w:w="2072" w:type="dxa"/>
            <w:hideMark/>
          </w:tcPr>
          <w:p w:rsidR="00F207D0" w:rsidRDefault="00F207D0"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Pr>
                <w:rFonts w:ascii="Calibri" w:eastAsia="Times New Roman" w:hAnsi="Calibri" w:cs="Calibri"/>
                <w:color w:val="000000"/>
                <w:sz w:val="16"/>
                <w:szCs w:val="16"/>
                <w:lang w:eastAsia="fr-FR"/>
              </w:rPr>
              <w:t>Conformément à l’Exigence 3.2 :</w:t>
            </w:r>
          </w:p>
          <w:p w:rsidR="00F207D0" w:rsidRDefault="008672C8" w:rsidP="00F207D0">
            <w:pPr>
              <w:pStyle w:val="Paragraphedeliste"/>
              <w:numPr>
                <w:ilvl w:val="0"/>
                <w:numId w:val="11"/>
              </w:numPr>
              <w:tabs>
                <w:tab w:val="left" w:pos="16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la RDC est tenue de divulguer publiquement les valeurs de production par matière première et, selon les besoins, par État/région, pour toutes les matières premières extractives produites au cours de l’exercice sous revue.</w:t>
            </w:r>
          </w:p>
          <w:p w:rsidR="00F207D0" w:rsidRDefault="008672C8" w:rsidP="00F207D0">
            <w:pPr>
              <w:pStyle w:val="Paragraphedeliste"/>
              <w:numPr>
                <w:ilvl w:val="0"/>
                <w:numId w:val="11"/>
              </w:numPr>
              <w:tabs>
                <w:tab w:val="left" w:pos="16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 La RDC est encouragée à rechercher des moyens d’utiliser l’ITIE en vue de déployer la nouvelle méthodologie d’évaluation par toutes les entreprises minières convenue en mai 2018 pour la</w:t>
            </w:r>
            <w:r w:rsidRPr="00F207D0">
              <w:rPr>
                <w:rFonts w:ascii="Calibri" w:eastAsia="Times New Roman" w:hAnsi="Calibri" w:cs="Calibri"/>
                <w:color w:val="000000"/>
                <w:sz w:val="16"/>
                <w:szCs w:val="16"/>
                <w:lang w:eastAsia="fr-FR"/>
              </w:rPr>
              <w:br/>
              <w:t xml:space="preserve">production extractive. </w:t>
            </w:r>
          </w:p>
          <w:p w:rsidR="00F207D0" w:rsidRDefault="008672C8" w:rsidP="00F207D0">
            <w:pPr>
              <w:pStyle w:val="Paragraphedeliste"/>
              <w:numPr>
                <w:ilvl w:val="0"/>
                <w:numId w:val="11"/>
              </w:numPr>
              <w:tabs>
                <w:tab w:val="left" w:pos="16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Elle pourrait envisager de travailler en collaboration étroite avec le ministère des Mines pour s’assurer que les données de production compilées par la CTCPM sont largement diffusées et comparées avec les données que les entreprises minières ont divulguées.</w:t>
            </w:r>
          </w:p>
          <w:p w:rsidR="008672C8" w:rsidRPr="00F207D0" w:rsidRDefault="008672C8" w:rsidP="00F207D0">
            <w:pPr>
              <w:pStyle w:val="Paragraphedeliste"/>
              <w:numPr>
                <w:ilvl w:val="0"/>
                <w:numId w:val="11"/>
              </w:numPr>
              <w:tabs>
                <w:tab w:val="left" w:pos="16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La RDC est encouragée à faire en sorte que l’ITIE travaille en collaboration étroite avec le SGH et le consortium entre MIOC, TEIKOKU et CHEVRON ODS afin qu’elle soit en mesure de divulguer publiquement </w:t>
            </w:r>
            <w:r w:rsidRPr="00F207D0">
              <w:rPr>
                <w:rFonts w:ascii="Calibri" w:eastAsia="Times New Roman" w:hAnsi="Calibri" w:cs="Calibri"/>
                <w:color w:val="000000"/>
                <w:sz w:val="16"/>
                <w:szCs w:val="16"/>
                <w:lang w:eastAsia="fr-FR"/>
              </w:rPr>
              <w:lastRenderedPageBreak/>
              <w:t xml:space="preserve">les valeurs de la production pétrolière à l’avenir. </w:t>
            </w:r>
          </w:p>
        </w:tc>
        <w:tc>
          <w:tcPr>
            <w:tcW w:w="1617"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D'accord avec  le niveau de progrès significatif, mais avec les précisions ci-contre du C.E</w:t>
            </w:r>
          </w:p>
        </w:tc>
        <w:tc>
          <w:tcPr>
            <w:tcW w:w="5118"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6"/>
                <w:szCs w:val="6"/>
                <w:lang w:eastAsia="fr-FR"/>
              </w:rPr>
            </w:pPr>
            <w:r w:rsidRPr="00760930">
              <w:rPr>
                <w:rFonts w:ascii="Calibri" w:eastAsia="Times New Roman" w:hAnsi="Calibri" w:cs="Calibri"/>
                <w:sz w:val="16"/>
                <w:szCs w:val="16"/>
                <w:lang w:eastAsia="fr-FR"/>
              </w:rPr>
              <w:t xml:space="preserve">Les actions visant à rencontrer la recommandation 13 du Secrétariat International seront menées par le GMP </w:t>
            </w:r>
            <w:r w:rsidRPr="00760930">
              <w:rPr>
                <w:rFonts w:ascii="Calibri" w:eastAsia="Times New Roman" w:hAnsi="Calibri" w:cs="Calibri"/>
                <w:sz w:val="16"/>
                <w:szCs w:val="16"/>
                <w:lang w:eastAsia="fr-FR"/>
              </w:rPr>
              <w:br/>
            </w:r>
          </w:p>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b/>
                <w:bCs/>
                <w:sz w:val="16"/>
                <w:szCs w:val="16"/>
                <w:u w:val="single"/>
                <w:lang w:eastAsia="fr-FR"/>
              </w:rPr>
              <w:t>Précisions du C</w:t>
            </w:r>
            <w:r w:rsidR="00760930">
              <w:rPr>
                <w:rFonts w:ascii="Calibri" w:eastAsia="Times New Roman" w:hAnsi="Calibri" w:cs="Calibri"/>
                <w:b/>
                <w:bCs/>
                <w:sz w:val="16"/>
                <w:szCs w:val="16"/>
                <w:u w:val="single"/>
                <w:lang w:eastAsia="fr-FR"/>
              </w:rPr>
              <w:t>.</w:t>
            </w:r>
            <w:r w:rsidRPr="00760930">
              <w:rPr>
                <w:rFonts w:ascii="Calibri" w:eastAsia="Times New Roman" w:hAnsi="Calibri" w:cs="Calibri"/>
                <w:b/>
                <w:bCs/>
                <w:sz w:val="16"/>
                <w:szCs w:val="16"/>
                <w:u w:val="single"/>
                <w:lang w:eastAsia="fr-FR"/>
              </w:rPr>
              <w:t>E</w:t>
            </w:r>
            <w:r w:rsidRPr="00760930">
              <w:rPr>
                <w:rFonts w:ascii="Calibri" w:eastAsia="Times New Roman" w:hAnsi="Calibri" w:cs="Calibri"/>
                <w:b/>
                <w:bCs/>
                <w:sz w:val="16"/>
                <w:szCs w:val="16"/>
                <w:lang w:eastAsia="fr-FR"/>
              </w:rPr>
              <w:t xml:space="preserve"> :</w:t>
            </w:r>
            <w:r w:rsidRPr="00760930">
              <w:rPr>
                <w:rFonts w:ascii="Calibri" w:eastAsia="Times New Roman" w:hAnsi="Calibri" w:cs="Calibri"/>
                <w:sz w:val="16"/>
                <w:szCs w:val="16"/>
                <w:lang w:eastAsia="fr-FR"/>
              </w:rPr>
              <w:t xml:space="preserve"> </w:t>
            </w:r>
          </w:p>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AD6313" w:rsidRPr="00760930" w:rsidRDefault="008672C8" w:rsidP="0081098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b/>
                <w:sz w:val="16"/>
                <w:szCs w:val="16"/>
                <w:lang w:eastAsia="fr-FR"/>
              </w:rPr>
              <w:t>Au sujet des données sur les valeurs de la production</w:t>
            </w:r>
            <w:r w:rsidRPr="00760930">
              <w:rPr>
                <w:rFonts w:ascii="Calibri" w:eastAsia="Times New Roman" w:hAnsi="Calibri" w:cs="Calibri"/>
                <w:sz w:val="16"/>
                <w:szCs w:val="16"/>
                <w:lang w:eastAsia="fr-FR"/>
              </w:rPr>
              <w:t>,</w:t>
            </w:r>
          </w:p>
          <w:p w:rsidR="00AD6313" w:rsidRPr="00760930" w:rsidRDefault="00AD6313" w:rsidP="0081098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sz w:val="16"/>
                <w:szCs w:val="16"/>
                <w:lang w:eastAsia="fr-FR"/>
              </w:rPr>
              <w:t>L’exigence 3.2 dispose que les pays de mise en œuvre doivent divulguer les données de production en volume et en valeur et dans une certaine mesure la méthode de calcul</w:t>
            </w:r>
            <w:r w:rsidR="008672C8" w:rsidRPr="00760930">
              <w:rPr>
                <w:rFonts w:ascii="Calibri" w:eastAsia="Times New Roman" w:hAnsi="Calibri" w:cs="Calibri"/>
                <w:sz w:val="16"/>
                <w:szCs w:val="16"/>
                <w:lang w:eastAsia="fr-FR"/>
              </w:rPr>
              <w:t xml:space="preserve"> </w:t>
            </w:r>
            <w:r w:rsidRPr="00760930">
              <w:rPr>
                <w:rFonts w:ascii="Calibri" w:eastAsia="Times New Roman" w:hAnsi="Calibri" w:cs="Calibri"/>
                <w:sz w:val="16"/>
                <w:szCs w:val="16"/>
                <w:lang w:eastAsia="fr-FR"/>
              </w:rPr>
              <w:t xml:space="preserve"> de la valeur de cette production. </w:t>
            </w:r>
          </w:p>
          <w:p w:rsidR="00B77490" w:rsidRPr="00C44F51" w:rsidRDefault="00AD6313" w:rsidP="0095365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6"/>
                <w:szCs w:val="16"/>
              </w:rPr>
            </w:pPr>
            <w:r w:rsidRPr="00760930">
              <w:rPr>
                <w:rFonts w:ascii="Calibri" w:eastAsia="Times New Roman" w:hAnsi="Calibri" w:cs="Calibri"/>
                <w:sz w:val="16"/>
                <w:szCs w:val="16"/>
                <w:lang w:eastAsia="fr-FR"/>
              </w:rPr>
              <w:t>D</w:t>
            </w:r>
            <w:r w:rsidR="00953654">
              <w:rPr>
                <w:rFonts w:ascii="Calibri" w:eastAsia="Times New Roman" w:hAnsi="Calibri" w:cs="Calibri"/>
                <w:sz w:val="16"/>
                <w:szCs w:val="16"/>
                <w:lang w:eastAsia="fr-FR"/>
              </w:rPr>
              <w:t>an</w:t>
            </w:r>
            <w:bookmarkStart w:id="0" w:name="_GoBack"/>
            <w:bookmarkEnd w:id="0"/>
            <w:r w:rsidR="00953654">
              <w:rPr>
                <w:rFonts w:ascii="Calibri" w:eastAsia="Times New Roman" w:hAnsi="Calibri" w:cs="Calibri"/>
                <w:sz w:val="16"/>
                <w:szCs w:val="16"/>
                <w:lang w:eastAsia="fr-FR"/>
              </w:rPr>
              <w:t>s</w:t>
            </w:r>
            <w:r w:rsidRPr="00760930">
              <w:rPr>
                <w:rFonts w:ascii="Calibri" w:eastAsia="Times New Roman" w:hAnsi="Calibri" w:cs="Calibri"/>
                <w:sz w:val="16"/>
                <w:szCs w:val="16"/>
                <w:lang w:eastAsia="fr-FR"/>
              </w:rPr>
              <w:t xml:space="preserve"> le rapport 2012, </w:t>
            </w:r>
            <w:r w:rsidR="00953654">
              <w:rPr>
                <w:rFonts w:ascii="Calibri" w:eastAsia="Times New Roman" w:hAnsi="Calibri" w:cs="Calibri"/>
                <w:sz w:val="16"/>
                <w:szCs w:val="16"/>
                <w:lang w:eastAsia="fr-FR"/>
              </w:rPr>
              <w:t xml:space="preserve">l’administrateur Indépendant </w:t>
            </w:r>
            <w:r w:rsidR="00C44F51">
              <w:rPr>
                <w:rFonts w:ascii="Calibri" w:eastAsia="Times New Roman" w:hAnsi="Calibri" w:cs="Calibri"/>
                <w:sz w:val="16"/>
                <w:szCs w:val="16"/>
                <w:lang w:eastAsia="fr-FR"/>
              </w:rPr>
              <w:t>relève l</w:t>
            </w:r>
            <w:r w:rsidR="00953654">
              <w:rPr>
                <w:rFonts w:ascii="Calibri" w:eastAsia="Times New Roman" w:hAnsi="Calibri" w:cs="Calibri"/>
                <w:sz w:val="16"/>
                <w:szCs w:val="16"/>
                <w:lang w:eastAsia="fr-FR"/>
              </w:rPr>
              <w:t xml:space="preserve">a </w:t>
            </w:r>
            <w:r w:rsidRPr="00760930">
              <w:rPr>
                <w:rFonts w:ascii="Calibri" w:eastAsia="Times New Roman" w:hAnsi="Calibri" w:cs="Calibri"/>
                <w:sz w:val="16"/>
                <w:szCs w:val="16"/>
                <w:lang w:eastAsia="fr-FR"/>
              </w:rPr>
              <w:t xml:space="preserve">diversité </w:t>
            </w:r>
            <w:r w:rsidR="00C44F51">
              <w:rPr>
                <w:rFonts w:ascii="Calibri" w:eastAsia="Times New Roman" w:hAnsi="Calibri" w:cs="Calibri"/>
                <w:sz w:val="16"/>
                <w:szCs w:val="16"/>
                <w:lang w:eastAsia="fr-FR"/>
              </w:rPr>
              <w:t xml:space="preserve">existant </w:t>
            </w:r>
            <w:r w:rsidR="008F31C3" w:rsidRPr="00760930">
              <w:rPr>
                <w:rFonts w:ascii="Calibri" w:eastAsia="Times New Roman" w:hAnsi="Calibri" w:cs="Calibri"/>
                <w:sz w:val="16"/>
                <w:szCs w:val="16"/>
                <w:lang w:eastAsia="fr-FR"/>
              </w:rPr>
              <w:t>de</w:t>
            </w:r>
            <w:r w:rsidR="00C44F51">
              <w:rPr>
                <w:rFonts w:ascii="Calibri" w:eastAsia="Times New Roman" w:hAnsi="Calibri" w:cs="Calibri"/>
                <w:sz w:val="16"/>
                <w:szCs w:val="16"/>
                <w:lang w:eastAsia="fr-FR"/>
              </w:rPr>
              <w:t>s</w:t>
            </w:r>
            <w:r w:rsidR="008F31C3" w:rsidRPr="00760930">
              <w:rPr>
                <w:rFonts w:ascii="Calibri" w:eastAsia="Times New Roman" w:hAnsi="Calibri" w:cs="Calibri"/>
                <w:sz w:val="16"/>
                <w:szCs w:val="16"/>
                <w:lang w:eastAsia="fr-FR"/>
              </w:rPr>
              <w:t xml:space="preserve"> </w:t>
            </w:r>
            <w:r w:rsidRPr="00760930">
              <w:rPr>
                <w:rFonts w:ascii="Calibri" w:eastAsia="Times New Roman" w:hAnsi="Calibri" w:cs="Calibri"/>
                <w:sz w:val="16"/>
                <w:szCs w:val="16"/>
                <w:lang w:eastAsia="fr-FR"/>
              </w:rPr>
              <w:t xml:space="preserve">méthodes </w:t>
            </w:r>
            <w:r w:rsidR="008F31C3" w:rsidRPr="00760930">
              <w:rPr>
                <w:rFonts w:ascii="Calibri" w:eastAsia="Times New Roman" w:hAnsi="Calibri" w:cs="Calibri"/>
                <w:sz w:val="16"/>
                <w:szCs w:val="16"/>
                <w:lang w:eastAsia="fr-FR"/>
              </w:rPr>
              <w:t xml:space="preserve">de calcul </w:t>
            </w:r>
            <w:r w:rsidR="00C44F51">
              <w:rPr>
                <w:rFonts w:ascii="Calibri" w:eastAsia="Times New Roman" w:hAnsi="Calibri" w:cs="Calibri"/>
                <w:sz w:val="16"/>
                <w:szCs w:val="16"/>
                <w:lang w:eastAsia="fr-FR"/>
              </w:rPr>
              <w:t>de la valeur  de production utilisées par les entreprises.</w:t>
            </w:r>
            <w:r w:rsidR="00953654">
              <w:rPr>
                <w:rFonts w:ascii="Calibri" w:eastAsia="Times New Roman" w:hAnsi="Calibri" w:cs="Calibri"/>
                <w:sz w:val="16"/>
                <w:szCs w:val="16"/>
                <w:lang w:eastAsia="fr-FR"/>
              </w:rPr>
              <w:t xml:space="preserve"> </w:t>
            </w:r>
            <w:r w:rsidR="00C44F51">
              <w:rPr>
                <w:rFonts w:ascii="Calibri" w:eastAsia="Times New Roman" w:hAnsi="Calibri" w:cs="Calibri"/>
                <w:sz w:val="16"/>
                <w:szCs w:val="16"/>
                <w:lang w:eastAsia="fr-FR"/>
              </w:rPr>
              <w:t>P</w:t>
            </w:r>
            <w:r w:rsidR="00B77490" w:rsidRPr="00760930">
              <w:rPr>
                <w:rFonts w:ascii="Calibri" w:hAnsi="Calibri" w:cs="Calibri"/>
                <w:sz w:val="16"/>
                <w:szCs w:val="16"/>
              </w:rPr>
              <w:t>our certaines, le calcul de la valeur de la production est effectué sur base de l’appréciation des dépenses directes des encours de la production, c’est-à-dire au prix de revient. Pour d’autres par contre, cette valeur est déterminée en multipliant les quantités produites par les cours de réalisation sur le marché, c’est le cas de la GÉCAMINES.</w:t>
            </w:r>
            <w:r w:rsidR="00C44F51" w:rsidRPr="00C44F51">
              <w:rPr>
                <w:rFonts w:ascii="Calibri" w:eastAsia="Times New Roman" w:hAnsi="Calibri" w:cs="Calibri"/>
                <w:color w:val="FF0000"/>
                <w:sz w:val="16"/>
                <w:szCs w:val="16"/>
                <w:lang w:eastAsia="fr-FR"/>
              </w:rPr>
              <w:t xml:space="preserve"> </w:t>
            </w:r>
            <w:r w:rsidR="00C44F51" w:rsidRPr="00C44F51">
              <w:rPr>
                <w:rFonts w:ascii="Calibri" w:eastAsia="Times New Roman" w:hAnsi="Calibri" w:cs="Calibri"/>
                <w:color w:val="000000" w:themeColor="text1"/>
                <w:sz w:val="16"/>
                <w:szCs w:val="16"/>
                <w:lang w:eastAsia="fr-FR"/>
              </w:rPr>
              <w:t>Aussi, cette absence d’une méthode uniformisé</w:t>
            </w:r>
            <w:r w:rsidR="00615389">
              <w:rPr>
                <w:rFonts w:ascii="Calibri" w:eastAsia="Times New Roman" w:hAnsi="Calibri" w:cs="Calibri"/>
                <w:color w:val="000000" w:themeColor="text1"/>
                <w:sz w:val="16"/>
                <w:szCs w:val="16"/>
                <w:lang w:eastAsia="fr-FR"/>
              </w:rPr>
              <w:t>e</w:t>
            </w:r>
            <w:r w:rsidR="00C44F51" w:rsidRPr="00C44F51">
              <w:rPr>
                <w:rFonts w:ascii="Calibri" w:eastAsia="Times New Roman" w:hAnsi="Calibri" w:cs="Calibri"/>
                <w:color w:val="000000" w:themeColor="text1"/>
                <w:sz w:val="16"/>
                <w:szCs w:val="16"/>
                <w:lang w:eastAsia="fr-FR"/>
              </w:rPr>
              <w:t xml:space="preserve"> de calcul de la valeur de production restreint la comparabilité d</w:t>
            </w:r>
            <w:r w:rsidR="00615389">
              <w:rPr>
                <w:rFonts w:ascii="Calibri" w:eastAsia="Times New Roman" w:hAnsi="Calibri" w:cs="Calibri"/>
                <w:color w:val="000000" w:themeColor="text1"/>
                <w:sz w:val="16"/>
                <w:szCs w:val="16"/>
                <w:lang w:eastAsia="fr-FR"/>
              </w:rPr>
              <w:t>es données y relative</w:t>
            </w:r>
            <w:r w:rsidR="00C44F51">
              <w:rPr>
                <w:rFonts w:ascii="Calibri" w:eastAsia="Times New Roman" w:hAnsi="Calibri" w:cs="Calibri"/>
                <w:color w:val="000000" w:themeColor="text1"/>
                <w:sz w:val="16"/>
                <w:szCs w:val="16"/>
                <w:lang w:eastAsia="fr-FR"/>
              </w:rPr>
              <w:t>.</w:t>
            </w:r>
          </w:p>
          <w:p w:rsidR="00B77490" w:rsidRPr="00760930" w:rsidRDefault="00AD6313" w:rsidP="008F31C3">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760930">
              <w:rPr>
                <w:rFonts w:ascii="Calibri" w:hAnsi="Calibri" w:cs="Calibri"/>
                <w:sz w:val="16"/>
                <w:szCs w:val="16"/>
              </w:rPr>
              <w:t xml:space="preserve">En vue de  parvenir à une </w:t>
            </w:r>
            <w:r w:rsidR="008F31C3" w:rsidRPr="00760930">
              <w:rPr>
                <w:rFonts w:ascii="Calibri" w:hAnsi="Calibri" w:cs="Calibri"/>
                <w:sz w:val="16"/>
                <w:szCs w:val="16"/>
              </w:rPr>
              <w:t>méthode</w:t>
            </w:r>
            <w:r w:rsidRPr="00760930">
              <w:rPr>
                <w:rFonts w:ascii="Calibri" w:hAnsi="Calibri" w:cs="Calibri"/>
                <w:sz w:val="16"/>
                <w:szCs w:val="16"/>
              </w:rPr>
              <w:t xml:space="preserve"> harmonisée</w:t>
            </w:r>
            <w:r w:rsidR="008F31C3" w:rsidRPr="00760930">
              <w:rPr>
                <w:rFonts w:ascii="Calibri" w:hAnsi="Calibri" w:cs="Calibri"/>
                <w:sz w:val="16"/>
                <w:szCs w:val="16"/>
              </w:rPr>
              <w:t xml:space="preserve"> dans la perspective de comparer les données des entreprises à celles de l’Etat, les parties prenantes ont fourni les efforts ci-après :</w:t>
            </w:r>
          </w:p>
          <w:p w:rsidR="00B77490" w:rsidRPr="00760930" w:rsidRDefault="00B77490" w:rsidP="0081098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810984" w:rsidRPr="00760930" w:rsidRDefault="00810984" w:rsidP="00810984">
            <w:pPr>
              <w:pStyle w:val="Paragraphedeliste"/>
              <w:numPr>
                <w:ilvl w:val="0"/>
                <w:numId w:val="5"/>
              </w:numPr>
              <w:ind w:left="147" w:hanging="14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sz w:val="16"/>
                <w:szCs w:val="16"/>
                <w:lang w:eastAsia="fr-FR"/>
              </w:rPr>
              <w:t xml:space="preserve">L’organisation, à Lubumbashi le 31/05/2018, d’un atelier regroupant les Top 5 des entreprises extractives (MUTANDA MINING, TFM, BOSS MINING, RUASHI MINING, MMG et la </w:t>
            </w:r>
            <w:r w:rsidR="00760930" w:rsidRPr="00760930">
              <w:rPr>
                <w:rFonts w:ascii="Calibri" w:eastAsia="Times New Roman" w:hAnsi="Calibri" w:cs="Calibri"/>
                <w:sz w:val="16"/>
                <w:szCs w:val="16"/>
                <w:lang w:eastAsia="fr-FR"/>
              </w:rPr>
              <w:t>GÉCAMINES</w:t>
            </w:r>
            <w:r w:rsidRPr="00760930">
              <w:rPr>
                <w:rFonts w:ascii="Calibri" w:eastAsia="Times New Roman" w:hAnsi="Calibri" w:cs="Calibri"/>
                <w:sz w:val="16"/>
                <w:szCs w:val="16"/>
                <w:lang w:eastAsia="fr-FR"/>
              </w:rPr>
              <w:t xml:space="preserve">) en présence des organisations de la société civile à l’issue duquel les parties prenantes ont convenu que </w:t>
            </w:r>
            <w:r w:rsidRPr="00760930">
              <w:rPr>
                <w:rFonts w:ascii="Calibri" w:eastAsia="Times New Roman" w:hAnsi="Calibri" w:cs="Calibri"/>
                <w:b/>
                <w:bCs/>
                <w:color w:val="0000FF"/>
                <w:sz w:val="16"/>
                <w:szCs w:val="16"/>
                <w:lang w:eastAsia="fr-FR"/>
              </w:rPr>
              <w:t xml:space="preserve">« La production sera valorisée au coût total de production ex-usine » </w:t>
            </w:r>
            <w:r w:rsidRPr="00760930">
              <w:rPr>
                <w:rFonts w:ascii="Calibri" w:eastAsia="Times New Roman" w:hAnsi="Calibri" w:cs="Calibri"/>
                <w:sz w:val="16"/>
                <w:szCs w:val="16"/>
                <w:lang w:eastAsia="fr-FR"/>
              </w:rPr>
              <w:t>;</w:t>
            </w:r>
          </w:p>
          <w:p w:rsidR="00810984" w:rsidRPr="00760930" w:rsidRDefault="00810984" w:rsidP="00810984">
            <w:pPr>
              <w:pStyle w:val="Paragraphedeliste"/>
              <w:numPr>
                <w:ilvl w:val="0"/>
                <w:numId w:val="5"/>
              </w:numPr>
              <w:ind w:left="147" w:hanging="147"/>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sz w:val="16"/>
                <w:szCs w:val="16"/>
                <w:lang w:eastAsia="fr-FR"/>
              </w:rPr>
              <w:t xml:space="preserve">La formalisation de la méthode ci-dessus dans le </w:t>
            </w:r>
            <w:hyperlink r:id="rId14" w:history="1">
              <w:r w:rsidRPr="00760930">
                <w:rPr>
                  <w:rStyle w:val="Lienhypertexte"/>
                  <w:rFonts w:ascii="Calibri" w:eastAsia="Times New Roman" w:hAnsi="Calibri" w:cs="Calibri"/>
                  <w:sz w:val="16"/>
                  <w:szCs w:val="16"/>
                  <w:lang w:eastAsia="fr-FR"/>
                </w:rPr>
                <w:t>Règlement minier</w:t>
              </w:r>
            </w:hyperlink>
            <w:r w:rsidR="001E5CC4" w:rsidRPr="00760930">
              <w:rPr>
                <w:rStyle w:val="Appelnotedebasdep"/>
                <w:rFonts w:ascii="Calibri" w:eastAsia="Times New Roman" w:hAnsi="Calibri" w:cs="Calibri"/>
                <w:color w:val="0000FF"/>
                <w:sz w:val="16"/>
                <w:szCs w:val="16"/>
                <w:lang w:eastAsia="fr-FR"/>
              </w:rPr>
              <w:footnoteReference w:id="6"/>
            </w:r>
            <w:r w:rsidRPr="00760930">
              <w:rPr>
                <w:rFonts w:ascii="Calibri" w:eastAsia="Times New Roman" w:hAnsi="Calibri" w:cs="Calibri"/>
                <w:sz w:val="16"/>
                <w:szCs w:val="16"/>
                <w:lang w:eastAsia="fr-FR"/>
              </w:rPr>
              <w:t xml:space="preserve"> (Article 25 </w:t>
            </w:r>
            <w:proofErr w:type="spellStart"/>
            <w:r w:rsidRPr="00760930">
              <w:rPr>
                <w:rFonts w:ascii="Calibri" w:eastAsia="Times New Roman" w:hAnsi="Calibri" w:cs="Calibri"/>
                <w:sz w:val="16"/>
                <w:szCs w:val="16"/>
                <w:lang w:eastAsia="fr-FR"/>
              </w:rPr>
              <w:t>sexies</w:t>
            </w:r>
            <w:proofErr w:type="spellEnd"/>
            <w:r w:rsidR="001E5CC4" w:rsidRPr="00760930">
              <w:rPr>
                <w:rFonts w:ascii="Calibri" w:eastAsia="Times New Roman" w:hAnsi="Calibri" w:cs="Calibri"/>
                <w:sz w:val="16"/>
                <w:szCs w:val="16"/>
                <w:lang w:eastAsia="fr-FR"/>
              </w:rPr>
              <w:t>)</w:t>
            </w:r>
            <w:r w:rsidRPr="00760930">
              <w:rPr>
                <w:rFonts w:ascii="Calibri" w:eastAsia="Times New Roman" w:hAnsi="Calibri" w:cs="Calibri"/>
                <w:sz w:val="16"/>
                <w:szCs w:val="16"/>
                <w:lang w:eastAsia="fr-FR"/>
              </w:rPr>
              <w:t> ;</w:t>
            </w:r>
          </w:p>
          <w:p w:rsidR="001E5CC4" w:rsidRPr="00760930" w:rsidRDefault="00810984" w:rsidP="001E5CC4">
            <w:pPr>
              <w:pStyle w:val="Paragraphedeliste"/>
              <w:numPr>
                <w:ilvl w:val="0"/>
                <w:numId w:val="5"/>
              </w:numPr>
              <w:ind w:left="147" w:hanging="14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sz w:val="16"/>
                <w:szCs w:val="16"/>
                <w:lang w:eastAsia="fr-FR"/>
              </w:rPr>
              <w:t xml:space="preserve">La publication, par le biais du Portail de données de l’ITIE-RDC, des valeurs de la production de certaines grandes entreprises du périmètre ITIE comme  CDM, FRONTIER, KIBALI, MUMI, RUMI, MMG, etc.  </w:t>
            </w:r>
            <w:r w:rsidR="008672C8" w:rsidRPr="00760930">
              <w:rPr>
                <w:rFonts w:ascii="Calibri" w:eastAsia="Times New Roman" w:hAnsi="Calibri" w:cs="Calibri"/>
                <w:sz w:val="16"/>
                <w:szCs w:val="16"/>
                <w:lang w:eastAsia="fr-FR"/>
              </w:rPr>
              <w:t xml:space="preserve">Précisons également que le portail des données ITIE constitue une partie intégrante des rapports ITIE. </w:t>
            </w:r>
          </w:p>
          <w:p w:rsidR="008672C8" w:rsidRPr="00760930" w:rsidRDefault="008672C8" w:rsidP="001E5CC4">
            <w:pPr>
              <w:ind w:left="5"/>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sz w:val="16"/>
                <w:szCs w:val="16"/>
                <w:lang w:eastAsia="fr-FR"/>
              </w:rPr>
              <w:t>Ainsi, l’affirmation selon laquelle les valeurs de la production ne sont pas fournies dans les Rapports ITIE de la RDC devrait être relativisée.</w:t>
            </w:r>
          </w:p>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p>
        </w:tc>
        <w:tc>
          <w:tcPr>
            <w:tcW w:w="977"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B0F0"/>
                <w:sz w:val="16"/>
                <w:szCs w:val="16"/>
                <w:lang w:eastAsia="fr-FR"/>
              </w:rPr>
            </w:pPr>
            <w:r w:rsidRPr="00760930">
              <w:rPr>
                <w:rFonts w:ascii="Calibri" w:eastAsia="Times New Roman" w:hAnsi="Calibri" w:cs="Calibri"/>
                <w:b/>
                <w:bCs/>
                <w:color w:val="0000FF"/>
                <w:sz w:val="16"/>
                <w:szCs w:val="16"/>
                <w:lang w:eastAsia="fr-FR"/>
              </w:rPr>
              <w:t>Progrès Significatif</w:t>
            </w:r>
          </w:p>
        </w:tc>
      </w:tr>
      <w:tr w:rsidR="008672C8" w:rsidRPr="00760930" w:rsidTr="00966F60">
        <w:trPr>
          <w:trHeight w:val="8064"/>
        </w:trPr>
        <w:tc>
          <w:tcPr>
            <w:cnfStyle w:val="001000000000" w:firstRow="0" w:lastRow="0" w:firstColumn="1" w:lastColumn="0" w:oddVBand="0" w:evenVBand="0" w:oddHBand="0" w:evenHBand="0" w:firstRowFirstColumn="0" w:firstRowLastColumn="0" w:lastRowFirstColumn="0" w:lastRowLastColumn="0"/>
            <w:tcW w:w="1165" w:type="dxa"/>
            <w:hideMark/>
          </w:tcPr>
          <w:p w:rsidR="008672C8" w:rsidRPr="00760930" w:rsidRDefault="00105593" w:rsidP="008672C8">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lastRenderedPageBreak/>
              <w:t xml:space="preserve">Matérialité et exhaustivité </w:t>
            </w:r>
            <w:r w:rsidR="008672C8" w:rsidRPr="00760930">
              <w:rPr>
                <w:rFonts w:ascii="Calibri" w:eastAsia="Times New Roman" w:hAnsi="Calibri" w:cs="Calibri"/>
                <w:color w:val="000000"/>
                <w:sz w:val="16"/>
                <w:szCs w:val="16"/>
                <w:lang w:eastAsia="fr-FR"/>
              </w:rPr>
              <w:t>(4.1)</w:t>
            </w:r>
          </w:p>
        </w:tc>
        <w:tc>
          <w:tcPr>
            <w:tcW w:w="2716" w:type="dxa"/>
            <w:hideMark/>
          </w:tcPr>
          <w:p w:rsidR="00105593"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00"/>
                <w:sz w:val="16"/>
                <w:szCs w:val="16"/>
                <w:lang w:eastAsia="fr-FR"/>
              </w:rPr>
              <w:br w:type="page"/>
              <w:t>De la définition de la matérialité</w:t>
            </w:r>
            <w:r w:rsidRPr="00760930">
              <w:rPr>
                <w:rFonts w:ascii="Calibri" w:eastAsia="Times New Roman" w:hAnsi="Calibri" w:cs="Calibri"/>
                <w:color w:val="000000"/>
                <w:sz w:val="16"/>
                <w:szCs w:val="16"/>
                <w:lang w:eastAsia="fr-FR"/>
              </w:rPr>
              <w:br w:type="page"/>
            </w:r>
          </w:p>
          <w:p w:rsidR="00C56F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 Rapport ITIE 2015 comprend la définition par le Groupe multipartite des seuils de matérialité pour les paiements et les entreprises à intégrer dans le rapprochement, sur la base des paiements versés au gouvernement, y compris une justification pour les seuils spécifiques. Cependant, bien que le Groupe multipartite ait adopté une approche quantitative relativement à l’évaluation de la matérialité des entreprises et des revenus, la nature fragmentée du régime fiscal pour le secteur minier et l’existence de paiements ad hoc significatifs (notamment par les entreprises d’État et leurs opérations conjointes) soulèvent des préoccupations quant à l’exhaustivité du périmètre des flux de revenus rapprochés. Il semble que toutes les entités de l’État aux revenus significatifs ont déclaré tous les revenus, malgré les difficultés rencontrées dans la collecte des données, et il semble également que le gouvernement a divulgué tous les revenus extractifs, y compris ceux provenant d’entreprises aux revenus non significatifs. </w:t>
            </w:r>
            <w:r w:rsidRPr="00760930">
              <w:rPr>
                <w:rFonts w:ascii="Calibri" w:eastAsia="Times New Roman" w:hAnsi="Calibri" w:cs="Calibri"/>
                <w:color w:val="000000"/>
                <w:sz w:val="16"/>
                <w:szCs w:val="16"/>
                <w:lang w:eastAsia="fr-FR"/>
              </w:rPr>
              <w:br w:type="page"/>
            </w:r>
            <w:r w:rsidRPr="00760930">
              <w:rPr>
                <w:rFonts w:ascii="Calibri" w:eastAsia="Times New Roman" w:hAnsi="Calibri" w:cs="Calibri"/>
                <w:color w:val="000000"/>
                <w:sz w:val="16"/>
                <w:szCs w:val="16"/>
                <w:lang w:eastAsia="fr-FR"/>
              </w:rPr>
              <w:br w:type="page"/>
            </w:r>
          </w:p>
          <w:p w:rsidR="00C56F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00"/>
                <w:sz w:val="16"/>
                <w:szCs w:val="16"/>
                <w:lang w:eastAsia="fr-FR"/>
              </w:rPr>
              <w:t xml:space="preserve">De l'exhaustivité des données et de la </w:t>
            </w:r>
            <w:r w:rsidR="00C56FC8" w:rsidRPr="00760930">
              <w:rPr>
                <w:rFonts w:ascii="Calibri" w:eastAsia="Times New Roman" w:hAnsi="Calibri" w:cs="Calibri"/>
                <w:b/>
                <w:bCs/>
                <w:color w:val="000000"/>
                <w:sz w:val="16"/>
                <w:szCs w:val="16"/>
                <w:lang w:eastAsia="fr-FR"/>
              </w:rPr>
              <w:t>tenue</w:t>
            </w:r>
            <w:r w:rsidRPr="00760930">
              <w:rPr>
                <w:rFonts w:ascii="Calibri" w:eastAsia="Times New Roman" w:hAnsi="Calibri" w:cs="Calibri"/>
                <w:b/>
                <w:bCs/>
                <w:color w:val="000000"/>
                <w:sz w:val="16"/>
                <w:szCs w:val="16"/>
                <w:lang w:eastAsia="fr-FR"/>
              </w:rPr>
              <w:t xml:space="preserve"> des pièces justificatives par l'Etat</w:t>
            </w:r>
            <w:r w:rsidRPr="00760930">
              <w:rPr>
                <w:rFonts w:ascii="Calibri" w:eastAsia="Times New Roman" w:hAnsi="Calibri" w:cs="Calibri"/>
                <w:color w:val="000000"/>
                <w:sz w:val="16"/>
                <w:szCs w:val="16"/>
                <w:lang w:eastAsia="fr-FR"/>
              </w:rPr>
              <w:br w:type="page"/>
            </w:r>
          </w:p>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Les entreprises n’ayant pas soumis de déclaration sont identifiées, et le rapport dresse une comparaison entre la valeur des paiements qu’elles ont versés au gouvernement et les revenus déclarés par ce dernier, Malgré le classement des paiements </w:t>
            </w:r>
            <w:r w:rsidRPr="00760930">
              <w:rPr>
                <w:rFonts w:ascii="Calibri" w:eastAsia="Times New Roman" w:hAnsi="Calibri" w:cs="Calibri"/>
                <w:color w:val="000000"/>
                <w:sz w:val="16"/>
                <w:szCs w:val="16"/>
                <w:lang w:eastAsia="fr-FR"/>
              </w:rPr>
              <w:lastRenderedPageBreak/>
              <w:t xml:space="preserve">des entreprises non déclarantes comme significatifs dans le Rapport ITIE 2015, les difficultés dans la collecte des données et les préoccupations concernant la tenue des dossiers par le gouvernement n’ont pas permis à l’Administrateur Indépendant de garantir l’exhaustivité des données financières rapprochées. Pour l’essentiel, il est difficile de montrer la réalisation de progrès satisfaisants relativement à l’Exigence 4.1 en RDC compte tenu des faiblesses de la tenue des dossiers par le gouvernement. Il ne serait pas raisonnable de conclure que le Groupe multipartite devrait être tenu de résoudre ces problèmes avant la prise de décisions au sujet de la matérialité. Le Secrétariat international considère que, compte tenu de ces limitations, le Groupe multipartite et l’Administrateur Indépendant ont cherché à suivre un processus permettant d’obtenir un degré élevé de certitude dans les circonstances. Dans le même temps, l’Administrateur Indépendant s’est dit inquiet de ce que certains revenus extractifs collectés par les entreprises d’État étaient exclus du rapprochement en raison du manque de clarté dans les documents et en l’absence d’une base statutaire pour ces revenus (voir l’Exigence 2.6). Bien que la part des revenus extractifs des 15 entreprises non déclarantes semble être négligeable, il serait utile d’améliorer le suivi par le Groupe multipartite des entités non déclarantes afin de s’assurer que </w:t>
            </w:r>
            <w:r w:rsidRPr="00760930">
              <w:rPr>
                <w:rFonts w:ascii="Calibri" w:eastAsia="Times New Roman" w:hAnsi="Calibri" w:cs="Calibri"/>
                <w:color w:val="000000"/>
                <w:sz w:val="16"/>
                <w:szCs w:val="16"/>
                <w:lang w:eastAsia="fr-FR"/>
              </w:rPr>
              <w:lastRenderedPageBreak/>
              <w:t xml:space="preserve">toutes les entreprises aux revenus significatifs participent à la déclaration ITIE. Dans son évaluation initiale, </w:t>
            </w:r>
            <w:r w:rsidRPr="00D55F87">
              <w:rPr>
                <w:rFonts w:ascii="Calibri" w:eastAsia="Times New Roman" w:hAnsi="Calibri" w:cs="Calibri"/>
                <w:b/>
                <w:bCs/>
                <w:i/>
                <w:color w:val="000000"/>
                <w:sz w:val="16"/>
                <w:szCs w:val="16"/>
                <w:lang w:eastAsia="fr-FR"/>
              </w:rPr>
              <w:t>le Secrétariat international conclut par conséquent que des aspects importants de l’Exigence ont été mis en œuvre et que l’objectif plus gé</w:t>
            </w:r>
            <w:r w:rsidR="005455B6" w:rsidRPr="00D55F87">
              <w:rPr>
                <w:rFonts w:ascii="Calibri" w:eastAsia="Times New Roman" w:hAnsi="Calibri" w:cs="Calibri"/>
                <w:b/>
                <w:bCs/>
                <w:i/>
                <w:color w:val="000000"/>
                <w:sz w:val="16"/>
                <w:szCs w:val="16"/>
                <w:lang w:eastAsia="fr-FR"/>
              </w:rPr>
              <w:t>néral de l’Exigence est rempli</w:t>
            </w:r>
            <w:r w:rsidR="005455B6">
              <w:rPr>
                <w:rFonts w:ascii="Calibri" w:eastAsia="Times New Roman" w:hAnsi="Calibri" w:cs="Calibri"/>
                <w:b/>
                <w:bCs/>
                <w:color w:val="000000"/>
                <w:sz w:val="16"/>
                <w:szCs w:val="16"/>
                <w:lang w:eastAsia="fr-FR"/>
              </w:rPr>
              <w:t>.</w:t>
            </w:r>
          </w:p>
        </w:tc>
        <w:tc>
          <w:tcPr>
            <w:tcW w:w="1004"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 xml:space="preserve">Le validateur a approuvé les conclusions du SI ainsi que le niveau de </w:t>
            </w:r>
            <w:r w:rsidRPr="007F7F67">
              <w:rPr>
                <w:rFonts w:ascii="Calibri" w:eastAsia="Times New Roman" w:hAnsi="Calibri" w:cs="Calibri"/>
                <w:b/>
                <w:color w:val="FF0000"/>
                <w:sz w:val="16"/>
                <w:szCs w:val="16"/>
                <w:lang w:eastAsia="fr-FR"/>
              </w:rPr>
              <w:t>progrès significatif</w:t>
            </w:r>
            <w:r w:rsidRPr="00760930">
              <w:rPr>
                <w:rFonts w:ascii="Calibri" w:eastAsia="Times New Roman" w:hAnsi="Calibri" w:cs="Calibri"/>
                <w:color w:val="000000"/>
                <w:sz w:val="16"/>
                <w:szCs w:val="16"/>
                <w:lang w:eastAsia="fr-FR"/>
              </w:rPr>
              <w:t xml:space="preserve"> </w:t>
            </w:r>
            <w:r w:rsidRPr="00760930">
              <w:rPr>
                <w:rFonts w:ascii="Calibri" w:eastAsia="Times New Roman" w:hAnsi="Calibri" w:cs="Calibri"/>
                <w:color w:val="000000"/>
                <w:sz w:val="16"/>
                <w:szCs w:val="16"/>
                <w:lang w:eastAsia="fr-FR"/>
              </w:rPr>
              <w:br w:type="page"/>
            </w:r>
          </w:p>
        </w:tc>
        <w:tc>
          <w:tcPr>
            <w:tcW w:w="2072" w:type="dxa"/>
            <w:hideMark/>
          </w:tcPr>
          <w:p w:rsidR="00F207D0" w:rsidRDefault="00F207D0" w:rsidP="008829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Pr>
                <w:rFonts w:ascii="Calibri" w:eastAsia="Times New Roman" w:hAnsi="Calibri" w:cs="Calibri"/>
                <w:color w:val="000000"/>
                <w:sz w:val="16"/>
                <w:szCs w:val="16"/>
                <w:lang w:eastAsia="fr-FR"/>
              </w:rPr>
              <w:t>Conformément à l’Exigence 4.1 :</w:t>
            </w:r>
          </w:p>
          <w:p w:rsidR="00F207D0" w:rsidRDefault="008672C8" w:rsidP="00F207D0">
            <w:pPr>
              <w:pStyle w:val="Paragraphedeliste"/>
              <w:numPr>
                <w:ilvl w:val="0"/>
                <w:numId w:val="12"/>
              </w:numPr>
              <w:tabs>
                <w:tab w:val="left" w:pos="21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la RDC devra veiller à ce que toutes les entreprises couvertes dans le périmètre de la déclaration divulguent pleinement tous les flux de revenus significatifs, et à ce que les décisions relatives à la matérialité des flux de revenus reposent sur la divulgation unilatérale par le gouvernement du total des revenus extractifs, notamment de ceux qui ne sont pas imposés par la loi, mais qui sont toutefois collectés. </w:t>
            </w:r>
          </w:p>
          <w:p w:rsidR="00F207D0" w:rsidRDefault="008672C8" w:rsidP="00F207D0">
            <w:pPr>
              <w:pStyle w:val="Paragraphedeliste"/>
              <w:numPr>
                <w:ilvl w:val="0"/>
                <w:numId w:val="12"/>
              </w:numPr>
              <w:tabs>
                <w:tab w:val="left" w:pos="21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La RDC devra également s’assurer que la divulgation unilatérale complète par le gouvernement des revenus significatifs, dont ceux versés par les entreprises aux revenus non significatifs, soit présentée sous forme désagrégée par flux de revenus plutôt que par entreprise. </w:t>
            </w:r>
          </w:p>
          <w:p w:rsidR="00F207D0" w:rsidRDefault="008672C8" w:rsidP="00F207D0">
            <w:pPr>
              <w:pStyle w:val="Paragraphedeliste"/>
              <w:numPr>
                <w:ilvl w:val="0"/>
                <w:numId w:val="12"/>
              </w:numPr>
              <w:tabs>
                <w:tab w:val="left" w:pos="21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La RDC pourrait envisager de revoir ses décisions en matière de cadrage et de matérialité, en adoptant potentiellement une approche à deux niveaux pour les moyennes et grandes entreprises, en vue de trouver un juste équilibre entre l’exhaustivité des </w:t>
            </w:r>
            <w:r w:rsidRPr="00F207D0">
              <w:rPr>
                <w:rFonts w:ascii="Calibri" w:eastAsia="Times New Roman" w:hAnsi="Calibri" w:cs="Calibri"/>
                <w:color w:val="000000"/>
                <w:sz w:val="16"/>
                <w:szCs w:val="16"/>
                <w:lang w:eastAsia="fr-FR"/>
              </w:rPr>
              <w:lastRenderedPageBreak/>
              <w:t xml:space="preserve">divulgations et la qualité de la déclaration. </w:t>
            </w:r>
          </w:p>
          <w:p w:rsidR="008672C8" w:rsidRPr="00F207D0" w:rsidRDefault="008672C8" w:rsidP="00F207D0">
            <w:pPr>
              <w:pStyle w:val="Paragraphedeliste"/>
              <w:numPr>
                <w:ilvl w:val="0"/>
                <w:numId w:val="12"/>
              </w:numPr>
              <w:tabs>
                <w:tab w:val="left" w:pos="21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Pour renforcer la mise en œuvre, la RDC est encouragée à réévaluer l’existence de recettes  gouvernementales en nature chaque année, en vue de divulguer publiquement les volumes perçus, les volumes vendus et le produit des ventes par acheteur une fois que la production démarre dans les zones couvertes par des APP pétroliers et gaziers.</w:t>
            </w:r>
          </w:p>
        </w:tc>
        <w:tc>
          <w:tcPr>
            <w:tcW w:w="1617" w:type="dxa"/>
            <w:hideMark/>
          </w:tcPr>
          <w:p w:rsidR="008672C8" w:rsidRPr="00E83D79" w:rsidRDefault="00E83D79" w:rsidP="00E83D7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FF0000"/>
                <w:sz w:val="16"/>
                <w:szCs w:val="16"/>
                <w:lang w:eastAsia="fr-FR"/>
              </w:rPr>
            </w:pPr>
            <w:r w:rsidRPr="00E83D79">
              <w:rPr>
                <w:rFonts w:ascii="Calibri" w:eastAsia="Times New Roman" w:hAnsi="Calibri" w:cs="Calibri"/>
                <w:sz w:val="16"/>
                <w:szCs w:val="16"/>
                <w:lang w:eastAsia="fr-FR"/>
              </w:rPr>
              <w:lastRenderedPageBreak/>
              <w:t>Pas d’</w:t>
            </w:r>
            <w:r w:rsidR="008672C8" w:rsidRPr="00E83D79">
              <w:rPr>
                <w:rFonts w:ascii="Calibri" w:eastAsia="Times New Roman" w:hAnsi="Calibri" w:cs="Calibri"/>
                <w:sz w:val="16"/>
                <w:szCs w:val="16"/>
                <w:lang w:eastAsia="fr-FR"/>
              </w:rPr>
              <w:t>accord avec le niveau de progrès significatif</w:t>
            </w:r>
          </w:p>
        </w:tc>
        <w:tc>
          <w:tcPr>
            <w:tcW w:w="5118" w:type="dxa"/>
            <w:hideMark/>
          </w:tcPr>
          <w:p w:rsidR="00AB75E8" w:rsidRDefault="008672C8" w:rsidP="00BA1F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sz w:val="16"/>
                <w:szCs w:val="16"/>
                <w:lang w:eastAsia="fr-FR"/>
              </w:rPr>
              <w:br w:type="page"/>
            </w:r>
            <w:r w:rsidR="00AB75E8">
              <w:rPr>
                <w:rFonts w:ascii="Calibri" w:eastAsia="Times New Roman" w:hAnsi="Calibri" w:cs="Calibri"/>
                <w:sz w:val="16"/>
                <w:szCs w:val="16"/>
                <w:lang w:eastAsia="fr-FR"/>
              </w:rPr>
              <w:t xml:space="preserve">Nous constatons que, dans sa conclusion (pp. 126 et 151 du rapport initial), le Secrétariat </w:t>
            </w:r>
            <w:r w:rsidR="00E83D79">
              <w:rPr>
                <w:rFonts w:ascii="Calibri" w:eastAsia="Times New Roman" w:hAnsi="Calibri" w:cs="Calibri"/>
                <w:sz w:val="16"/>
                <w:szCs w:val="16"/>
                <w:lang w:eastAsia="fr-FR"/>
              </w:rPr>
              <w:t xml:space="preserve">International est resté mitigé </w:t>
            </w:r>
            <w:r w:rsidR="00AB75E8">
              <w:rPr>
                <w:rFonts w:ascii="Calibri" w:eastAsia="Times New Roman" w:hAnsi="Calibri" w:cs="Calibri"/>
                <w:sz w:val="16"/>
                <w:szCs w:val="16"/>
                <w:lang w:eastAsia="fr-FR"/>
              </w:rPr>
              <w:t>quant à l’appréciation du niveau de progrès atteint</w:t>
            </w:r>
            <w:r w:rsidR="00A26385">
              <w:rPr>
                <w:rFonts w:ascii="Calibri" w:eastAsia="Times New Roman" w:hAnsi="Calibri" w:cs="Calibri"/>
                <w:sz w:val="16"/>
                <w:szCs w:val="16"/>
                <w:lang w:eastAsia="fr-FR"/>
              </w:rPr>
              <w:t xml:space="preserve"> par l’ITIE-RDC</w:t>
            </w:r>
            <w:r w:rsidR="00AB75E8">
              <w:rPr>
                <w:rFonts w:ascii="Calibri" w:eastAsia="Times New Roman" w:hAnsi="Calibri" w:cs="Calibri"/>
                <w:sz w:val="16"/>
                <w:szCs w:val="16"/>
                <w:lang w:eastAsia="fr-FR"/>
              </w:rPr>
              <w:t>.</w:t>
            </w:r>
          </w:p>
          <w:p w:rsidR="00AB75E8" w:rsidRPr="00AB75E8" w:rsidRDefault="00AB75E8" w:rsidP="00BA1F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AB75E8" w:rsidRDefault="00AB75E8" w:rsidP="0026500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Pr>
                <w:rFonts w:ascii="Calibri" w:eastAsia="Times New Roman" w:hAnsi="Calibri" w:cs="Calibri"/>
                <w:sz w:val="16"/>
                <w:szCs w:val="16"/>
                <w:lang w:eastAsia="fr-FR"/>
              </w:rPr>
              <w:t xml:space="preserve">Nous voudrions à cet effet avoir des éclaircissements sur la valeur relative ou le poids des critères dans l’évaluation </w:t>
            </w:r>
            <w:r w:rsidR="0026500E">
              <w:rPr>
                <w:rFonts w:ascii="Calibri" w:eastAsia="Times New Roman" w:hAnsi="Calibri" w:cs="Calibri"/>
                <w:sz w:val="16"/>
                <w:szCs w:val="16"/>
                <w:lang w:eastAsia="fr-FR"/>
              </w:rPr>
              <w:t xml:space="preserve">objective </w:t>
            </w:r>
            <w:r>
              <w:rPr>
                <w:rFonts w:ascii="Calibri" w:eastAsia="Times New Roman" w:hAnsi="Calibri" w:cs="Calibri"/>
                <w:sz w:val="16"/>
                <w:szCs w:val="16"/>
                <w:lang w:eastAsia="fr-FR"/>
              </w:rPr>
              <w:t>des aspects de la Norme.</w:t>
            </w:r>
          </w:p>
          <w:p w:rsidR="00E83D79" w:rsidRPr="00E83D79" w:rsidRDefault="00E83D79" w:rsidP="0026500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E83D79" w:rsidRDefault="00E83D79" w:rsidP="0026500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E83D79">
              <w:rPr>
                <w:rFonts w:ascii="Calibri" w:eastAsia="Times New Roman" w:hAnsi="Calibri" w:cs="Calibri"/>
                <w:b/>
                <w:sz w:val="16"/>
                <w:szCs w:val="16"/>
                <w:lang w:eastAsia="fr-FR"/>
              </w:rPr>
              <w:t>En ce qui concerne le seuil de matérialité</w:t>
            </w:r>
            <w:r>
              <w:rPr>
                <w:rFonts w:ascii="Calibri" w:eastAsia="Times New Roman" w:hAnsi="Calibri" w:cs="Calibri"/>
                <w:sz w:val="16"/>
                <w:szCs w:val="16"/>
                <w:lang w:eastAsia="fr-FR"/>
              </w:rPr>
              <w:t> :</w:t>
            </w:r>
          </w:p>
          <w:p w:rsidR="00E83D79" w:rsidRPr="00E83D79" w:rsidRDefault="00E83D79" w:rsidP="00D65BF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AF6110" w:rsidRDefault="00FF16D6" w:rsidP="00FE2A8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Pr>
                <w:rFonts w:ascii="Calibri" w:eastAsia="Times New Roman" w:hAnsi="Calibri" w:cs="Calibri"/>
                <w:sz w:val="16"/>
                <w:szCs w:val="16"/>
                <w:lang w:eastAsia="fr-FR"/>
              </w:rPr>
              <w:t xml:space="preserve">L’option levée par le </w:t>
            </w:r>
            <w:r w:rsidR="00E83D79">
              <w:rPr>
                <w:rFonts w:ascii="Calibri" w:eastAsia="Times New Roman" w:hAnsi="Calibri" w:cs="Calibri"/>
                <w:sz w:val="16"/>
                <w:szCs w:val="16"/>
                <w:lang w:eastAsia="fr-FR"/>
              </w:rPr>
              <w:t>GMP et les P</w:t>
            </w:r>
            <w:r>
              <w:rPr>
                <w:rFonts w:ascii="Calibri" w:eastAsia="Times New Roman" w:hAnsi="Calibri" w:cs="Calibri"/>
                <w:sz w:val="16"/>
                <w:szCs w:val="16"/>
                <w:lang w:eastAsia="fr-FR"/>
              </w:rPr>
              <w:t xml:space="preserve">arties </w:t>
            </w:r>
            <w:r w:rsidR="00E83D79">
              <w:rPr>
                <w:rFonts w:ascii="Calibri" w:eastAsia="Times New Roman" w:hAnsi="Calibri" w:cs="Calibri"/>
                <w:sz w:val="16"/>
                <w:szCs w:val="16"/>
                <w:lang w:eastAsia="fr-FR"/>
              </w:rPr>
              <w:t>P</w:t>
            </w:r>
            <w:r>
              <w:rPr>
                <w:rFonts w:ascii="Calibri" w:eastAsia="Times New Roman" w:hAnsi="Calibri" w:cs="Calibri"/>
                <w:sz w:val="16"/>
                <w:szCs w:val="16"/>
                <w:lang w:eastAsia="fr-FR"/>
              </w:rPr>
              <w:t>renantes</w:t>
            </w:r>
            <w:r w:rsidR="00E83D79">
              <w:rPr>
                <w:rFonts w:ascii="Calibri" w:eastAsia="Times New Roman" w:hAnsi="Calibri" w:cs="Calibri"/>
                <w:sz w:val="16"/>
                <w:szCs w:val="16"/>
                <w:lang w:eastAsia="fr-FR"/>
              </w:rPr>
              <w:t xml:space="preserve"> pour tous les rapports ITIE-RDC publiés jusqu’ici était de fixer un seuil de matérialité </w:t>
            </w:r>
            <w:r w:rsidR="00E83D79" w:rsidRPr="006D324D">
              <w:rPr>
                <w:rFonts w:ascii="Calibri" w:eastAsia="Times New Roman" w:hAnsi="Calibri" w:cs="Calibri"/>
                <w:b/>
                <w:color w:val="0000FF"/>
                <w:sz w:val="16"/>
                <w:szCs w:val="16"/>
                <w:lang w:eastAsia="fr-FR"/>
              </w:rPr>
              <w:t>unique</w:t>
            </w:r>
            <w:r w:rsidR="00E83D79" w:rsidRPr="006D324D">
              <w:rPr>
                <w:rFonts w:ascii="Calibri" w:eastAsia="Times New Roman" w:hAnsi="Calibri" w:cs="Calibri"/>
                <w:color w:val="0000FF"/>
                <w:sz w:val="16"/>
                <w:szCs w:val="16"/>
                <w:lang w:eastAsia="fr-FR"/>
              </w:rPr>
              <w:t xml:space="preserve"> </w:t>
            </w:r>
            <w:r w:rsidR="00E83D79">
              <w:rPr>
                <w:rFonts w:ascii="Calibri" w:eastAsia="Times New Roman" w:hAnsi="Calibri" w:cs="Calibri"/>
                <w:sz w:val="16"/>
                <w:szCs w:val="16"/>
                <w:lang w:eastAsia="fr-FR"/>
              </w:rPr>
              <w:t xml:space="preserve">pour tous les paiements </w:t>
            </w:r>
            <w:r w:rsidR="00F644F1">
              <w:rPr>
                <w:rFonts w:ascii="Calibri" w:eastAsia="Times New Roman" w:hAnsi="Calibri" w:cs="Calibri"/>
                <w:sz w:val="16"/>
                <w:szCs w:val="16"/>
                <w:lang w:eastAsia="fr-FR"/>
              </w:rPr>
              <w:t xml:space="preserve">de droit commun, </w:t>
            </w:r>
            <w:r w:rsidR="00E83D79">
              <w:rPr>
                <w:rFonts w:ascii="Calibri" w:eastAsia="Times New Roman" w:hAnsi="Calibri" w:cs="Calibri"/>
                <w:sz w:val="16"/>
                <w:szCs w:val="16"/>
                <w:lang w:eastAsia="fr-FR"/>
              </w:rPr>
              <w:t>nationaux et infranationaux</w:t>
            </w:r>
            <w:r w:rsidR="00F644F1">
              <w:rPr>
                <w:rFonts w:ascii="Calibri" w:eastAsia="Times New Roman" w:hAnsi="Calibri" w:cs="Calibri"/>
                <w:sz w:val="16"/>
                <w:szCs w:val="16"/>
                <w:lang w:eastAsia="fr-FR"/>
              </w:rPr>
              <w:t xml:space="preserve"> </w:t>
            </w:r>
            <w:r w:rsidR="00E83D79">
              <w:rPr>
                <w:rFonts w:ascii="Calibri" w:eastAsia="Times New Roman" w:hAnsi="Calibri" w:cs="Calibri"/>
                <w:sz w:val="16"/>
                <w:szCs w:val="16"/>
                <w:lang w:eastAsia="fr-FR"/>
              </w:rPr>
              <w:t xml:space="preserve">et pour toutes les entreprises. </w:t>
            </w:r>
            <w:r w:rsidR="00AF6110">
              <w:rPr>
                <w:rFonts w:ascii="Calibri" w:eastAsia="Times New Roman" w:hAnsi="Calibri" w:cs="Calibri"/>
                <w:sz w:val="16"/>
                <w:szCs w:val="16"/>
                <w:lang w:eastAsia="fr-FR"/>
              </w:rPr>
              <w:t>P</w:t>
            </w:r>
            <w:r w:rsidR="00F644F1">
              <w:rPr>
                <w:rFonts w:ascii="Calibri" w:eastAsia="Times New Roman" w:hAnsi="Calibri" w:cs="Calibri"/>
                <w:sz w:val="16"/>
                <w:szCs w:val="16"/>
                <w:lang w:eastAsia="fr-FR"/>
              </w:rPr>
              <w:t>our les flux spécifiques au secteur extractif</w:t>
            </w:r>
            <w:r w:rsidR="00AF6110">
              <w:rPr>
                <w:rFonts w:ascii="Calibri" w:eastAsia="Times New Roman" w:hAnsi="Calibri" w:cs="Calibri"/>
                <w:sz w:val="16"/>
                <w:szCs w:val="16"/>
                <w:lang w:eastAsia="fr-FR"/>
              </w:rPr>
              <w:t>, aucun seuil n’a été fixé</w:t>
            </w:r>
            <w:r w:rsidR="00F644F1">
              <w:rPr>
                <w:rFonts w:ascii="Calibri" w:eastAsia="Times New Roman" w:hAnsi="Calibri" w:cs="Calibri"/>
                <w:sz w:val="16"/>
                <w:szCs w:val="16"/>
                <w:lang w:eastAsia="fr-FR"/>
              </w:rPr>
              <w:t xml:space="preserve">. </w:t>
            </w:r>
          </w:p>
          <w:p w:rsidR="00AF6110" w:rsidRPr="00AF6110" w:rsidRDefault="00AF6110" w:rsidP="00FE2A8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FE2A8E" w:rsidRDefault="00E83D79" w:rsidP="00FE2A8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Pr>
                <w:rFonts w:ascii="Calibri" w:eastAsia="Times New Roman" w:hAnsi="Calibri" w:cs="Calibri"/>
                <w:sz w:val="16"/>
                <w:szCs w:val="16"/>
                <w:lang w:eastAsia="fr-FR"/>
              </w:rPr>
              <w:t>Ceci ne leur avait jamais été reproché comme étant contraire à la Norme.</w:t>
            </w:r>
            <w:r w:rsidR="00FE2A8E">
              <w:rPr>
                <w:rFonts w:ascii="Calibri" w:eastAsia="Times New Roman" w:hAnsi="Calibri" w:cs="Calibri"/>
                <w:sz w:val="16"/>
                <w:szCs w:val="16"/>
                <w:lang w:eastAsia="fr-FR"/>
              </w:rPr>
              <w:t xml:space="preserve"> </w:t>
            </w:r>
          </w:p>
          <w:p w:rsidR="006D324D" w:rsidRPr="006D324D" w:rsidRDefault="006D324D"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6D324D" w:rsidRDefault="00FE2A8E"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Pr>
                <w:rFonts w:ascii="Calibri" w:eastAsia="Times New Roman" w:hAnsi="Calibri" w:cs="Calibri"/>
                <w:sz w:val="16"/>
                <w:szCs w:val="16"/>
                <w:lang w:eastAsia="fr-FR"/>
              </w:rPr>
              <w:t xml:space="preserve">Bien plus, pour des raisons d’exhaustivité, </w:t>
            </w:r>
            <w:r w:rsidR="00FF16D6">
              <w:rPr>
                <w:rFonts w:ascii="Calibri" w:eastAsia="Times New Roman" w:hAnsi="Calibri" w:cs="Calibri"/>
                <w:sz w:val="16"/>
                <w:szCs w:val="16"/>
                <w:lang w:eastAsia="fr-FR"/>
              </w:rPr>
              <w:t xml:space="preserve">les </w:t>
            </w:r>
            <w:r w:rsidR="006D324D">
              <w:rPr>
                <w:rFonts w:ascii="Calibri" w:eastAsia="Times New Roman" w:hAnsi="Calibri" w:cs="Calibri"/>
                <w:sz w:val="16"/>
                <w:szCs w:val="16"/>
                <w:lang w:eastAsia="fr-FR"/>
              </w:rPr>
              <w:t xml:space="preserve">Parties Prenantes </w:t>
            </w:r>
            <w:r w:rsidR="00FF16D6">
              <w:rPr>
                <w:rFonts w:ascii="Calibri" w:eastAsia="Times New Roman" w:hAnsi="Calibri" w:cs="Calibri"/>
                <w:sz w:val="16"/>
                <w:szCs w:val="16"/>
                <w:lang w:eastAsia="fr-FR"/>
              </w:rPr>
              <w:t xml:space="preserve">ont </w:t>
            </w:r>
            <w:r>
              <w:rPr>
                <w:rFonts w:ascii="Calibri" w:eastAsia="Times New Roman" w:hAnsi="Calibri" w:cs="Calibri"/>
                <w:sz w:val="16"/>
                <w:szCs w:val="16"/>
                <w:lang w:eastAsia="fr-FR"/>
              </w:rPr>
              <w:t>ajouté d’autres critères de sélection des entreprises et de flux</w:t>
            </w:r>
            <w:r w:rsidR="00FF16D6">
              <w:rPr>
                <w:rFonts w:ascii="Calibri" w:eastAsia="Times New Roman" w:hAnsi="Calibri" w:cs="Calibri"/>
                <w:sz w:val="16"/>
                <w:szCs w:val="16"/>
                <w:lang w:eastAsia="fr-FR"/>
              </w:rPr>
              <w:t xml:space="preserve">. </w:t>
            </w:r>
            <w:r w:rsidR="006D324D">
              <w:rPr>
                <w:rFonts w:ascii="Calibri" w:eastAsia="Times New Roman" w:hAnsi="Calibri" w:cs="Calibri"/>
                <w:sz w:val="16"/>
                <w:szCs w:val="16"/>
                <w:lang w:eastAsia="fr-FR"/>
              </w:rPr>
              <w:t xml:space="preserve"> </w:t>
            </w:r>
          </w:p>
          <w:p w:rsidR="006D324D" w:rsidRPr="006D324D" w:rsidRDefault="006D324D"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E83D79" w:rsidRDefault="00FF16D6"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Pr>
                <w:rFonts w:ascii="Calibri" w:eastAsia="Times New Roman" w:hAnsi="Calibri" w:cs="Calibri"/>
                <w:sz w:val="16"/>
                <w:szCs w:val="16"/>
                <w:lang w:eastAsia="fr-FR"/>
              </w:rPr>
              <w:t xml:space="preserve">L’application combinée de </w:t>
            </w:r>
            <w:r w:rsidR="006D324D">
              <w:rPr>
                <w:rFonts w:ascii="Calibri" w:eastAsia="Times New Roman" w:hAnsi="Calibri" w:cs="Calibri"/>
                <w:sz w:val="16"/>
                <w:szCs w:val="16"/>
                <w:lang w:eastAsia="fr-FR"/>
              </w:rPr>
              <w:t>tous ces</w:t>
            </w:r>
            <w:r>
              <w:rPr>
                <w:rFonts w:ascii="Calibri" w:eastAsia="Times New Roman" w:hAnsi="Calibri" w:cs="Calibri"/>
                <w:sz w:val="16"/>
                <w:szCs w:val="16"/>
                <w:lang w:eastAsia="fr-FR"/>
              </w:rPr>
              <w:t xml:space="preserve"> critères additifs a permis de couvrir le maximum de revenus du secteur extractif et de prévenir les omissions éventuelles</w:t>
            </w:r>
            <w:r w:rsidR="006D324D">
              <w:rPr>
                <w:rFonts w:ascii="Calibri" w:eastAsia="Times New Roman" w:hAnsi="Calibri" w:cs="Calibri"/>
                <w:sz w:val="16"/>
                <w:szCs w:val="16"/>
                <w:lang w:eastAsia="fr-FR"/>
              </w:rPr>
              <w:t xml:space="preserve"> et ce, à la satisfaction de toutes les Parties Prenantes et du GMP.</w:t>
            </w:r>
          </w:p>
          <w:p w:rsidR="006D324D" w:rsidRPr="006D324D" w:rsidRDefault="006D324D"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D65BF5" w:rsidRDefault="00D65BF5"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Pr>
                <w:rFonts w:ascii="Calibri" w:eastAsia="Times New Roman" w:hAnsi="Calibri" w:cs="Calibri"/>
                <w:sz w:val="16"/>
                <w:szCs w:val="16"/>
                <w:lang w:eastAsia="fr-FR"/>
              </w:rPr>
              <w:t>Toute</w:t>
            </w:r>
            <w:r w:rsidR="006D324D">
              <w:rPr>
                <w:rFonts w:ascii="Calibri" w:eastAsia="Times New Roman" w:hAnsi="Calibri" w:cs="Calibri"/>
                <w:sz w:val="16"/>
                <w:szCs w:val="16"/>
                <w:lang w:eastAsia="fr-FR"/>
              </w:rPr>
              <w:t xml:space="preserve"> autre approche aurait dû faire l’objet d’une recommandation</w:t>
            </w:r>
            <w:r>
              <w:rPr>
                <w:rFonts w:ascii="Calibri" w:eastAsia="Times New Roman" w:hAnsi="Calibri" w:cs="Calibri"/>
                <w:sz w:val="16"/>
                <w:szCs w:val="16"/>
                <w:lang w:eastAsia="fr-FR"/>
              </w:rPr>
              <w:t>,</w:t>
            </w:r>
            <w:r w:rsidR="006D324D">
              <w:rPr>
                <w:rFonts w:ascii="Calibri" w:eastAsia="Times New Roman" w:hAnsi="Calibri" w:cs="Calibri"/>
                <w:sz w:val="16"/>
                <w:szCs w:val="16"/>
                <w:lang w:eastAsia="fr-FR"/>
              </w:rPr>
              <w:t xml:space="preserve"> et non </w:t>
            </w:r>
            <w:r>
              <w:rPr>
                <w:rFonts w:ascii="Calibri" w:eastAsia="Times New Roman" w:hAnsi="Calibri" w:cs="Calibri"/>
                <w:sz w:val="16"/>
                <w:szCs w:val="16"/>
                <w:lang w:eastAsia="fr-FR"/>
              </w:rPr>
              <w:t>d’une remise</w:t>
            </w:r>
            <w:r w:rsidR="006D324D">
              <w:rPr>
                <w:rFonts w:ascii="Calibri" w:eastAsia="Times New Roman" w:hAnsi="Calibri" w:cs="Calibri"/>
                <w:sz w:val="16"/>
                <w:szCs w:val="16"/>
                <w:lang w:eastAsia="fr-FR"/>
              </w:rPr>
              <w:t xml:space="preserve"> en cause </w:t>
            </w:r>
            <w:r>
              <w:rPr>
                <w:rFonts w:ascii="Calibri" w:eastAsia="Times New Roman" w:hAnsi="Calibri" w:cs="Calibri"/>
                <w:sz w:val="16"/>
                <w:szCs w:val="16"/>
                <w:lang w:eastAsia="fr-FR"/>
              </w:rPr>
              <w:t xml:space="preserve">de l’option levée par le GMP qui, du reste, en a la responsabilité en vertu de la Norme. </w:t>
            </w:r>
          </w:p>
          <w:p w:rsidR="00D65BF5" w:rsidRPr="00D65BF5" w:rsidRDefault="00D65BF5"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D65BF5" w:rsidRDefault="00D65BF5" w:rsidP="00D65BF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E83D79">
              <w:rPr>
                <w:rFonts w:ascii="Calibri" w:eastAsia="Times New Roman" w:hAnsi="Calibri" w:cs="Calibri"/>
                <w:b/>
                <w:sz w:val="16"/>
                <w:szCs w:val="16"/>
                <w:lang w:eastAsia="fr-FR"/>
              </w:rPr>
              <w:t>En ce qui concerne l</w:t>
            </w:r>
            <w:r>
              <w:rPr>
                <w:rFonts w:ascii="Calibri" w:eastAsia="Times New Roman" w:hAnsi="Calibri" w:cs="Calibri"/>
                <w:b/>
                <w:sz w:val="16"/>
                <w:szCs w:val="16"/>
                <w:lang w:eastAsia="fr-FR"/>
              </w:rPr>
              <w:t>a complexi</w:t>
            </w:r>
            <w:r w:rsidRPr="00E83D79">
              <w:rPr>
                <w:rFonts w:ascii="Calibri" w:eastAsia="Times New Roman" w:hAnsi="Calibri" w:cs="Calibri"/>
                <w:b/>
                <w:sz w:val="16"/>
                <w:szCs w:val="16"/>
                <w:lang w:eastAsia="fr-FR"/>
              </w:rPr>
              <w:t>té</w:t>
            </w:r>
            <w:r w:rsidRPr="00D65BF5">
              <w:rPr>
                <w:rFonts w:ascii="Calibri" w:eastAsia="Times New Roman" w:hAnsi="Calibri" w:cs="Calibri"/>
                <w:b/>
                <w:sz w:val="16"/>
                <w:szCs w:val="16"/>
                <w:lang w:eastAsia="fr-FR"/>
              </w:rPr>
              <w:t xml:space="preserve"> ou</w:t>
            </w:r>
            <w:r>
              <w:rPr>
                <w:rFonts w:ascii="Calibri" w:eastAsia="Times New Roman" w:hAnsi="Calibri" w:cs="Calibri"/>
                <w:b/>
                <w:sz w:val="16"/>
                <w:szCs w:val="16"/>
                <w:lang w:eastAsia="fr-FR"/>
              </w:rPr>
              <w:t xml:space="preserve"> la fragmentation du régime fiscal</w:t>
            </w:r>
            <w:r>
              <w:rPr>
                <w:rFonts w:ascii="Calibri" w:eastAsia="Times New Roman" w:hAnsi="Calibri" w:cs="Calibri"/>
                <w:sz w:val="16"/>
                <w:szCs w:val="16"/>
                <w:lang w:eastAsia="fr-FR"/>
              </w:rPr>
              <w:t xml:space="preserve"> :</w:t>
            </w:r>
          </w:p>
          <w:p w:rsidR="00F01948" w:rsidRPr="00F01948" w:rsidRDefault="00F01948"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7F4261" w:rsidRDefault="007F4261"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Pr>
                <w:rFonts w:ascii="Calibri" w:eastAsia="Times New Roman" w:hAnsi="Calibri" w:cs="Calibri"/>
                <w:sz w:val="16"/>
                <w:szCs w:val="16"/>
                <w:lang w:eastAsia="fr-FR"/>
              </w:rPr>
              <w:t>Tel que décrit dans le rapport contextuel 2016, le régime fiscal congolais est suffisamment clair au point que sa fragmentation n’a jamais été à la base de manque d’exhaustivité dans la collecte de données pour les rapports ITIE.</w:t>
            </w:r>
          </w:p>
          <w:p w:rsidR="001F5CAC" w:rsidRDefault="001F5CAC"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Pr>
                <w:rFonts w:ascii="Calibri" w:eastAsia="Times New Roman" w:hAnsi="Calibri" w:cs="Calibri"/>
                <w:sz w:val="16"/>
                <w:szCs w:val="16"/>
                <w:lang w:eastAsia="fr-FR"/>
              </w:rPr>
              <w:t>C’est sur base de cette fragmentation que le rapport 2015 a divulgué les paiements perçus par les Entreprises d’Etat.</w:t>
            </w:r>
          </w:p>
          <w:p w:rsidR="001F5CAC" w:rsidRPr="001F5CAC" w:rsidRDefault="001F5CAC"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1F5CAC" w:rsidRDefault="001F5CAC"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Pr>
                <w:rFonts w:ascii="Calibri" w:eastAsia="Times New Roman" w:hAnsi="Calibri" w:cs="Calibri"/>
                <w:sz w:val="16"/>
                <w:szCs w:val="16"/>
                <w:lang w:eastAsia="fr-FR"/>
              </w:rPr>
              <w:t>Le Comité Exécutif constate que l</w:t>
            </w:r>
            <w:r w:rsidR="00F01948">
              <w:rPr>
                <w:rFonts w:ascii="Calibri" w:eastAsia="Times New Roman" w:hAnsi="Calibri" w:cs="Calibri"/>
                <w:sz w:val="16"/>
                <w:szCs w:val="16"/>
                <w:lang w:eastAsia="fr-FR"/>
              </w:rPr>
              <w:t>e rapport initial n</w:t>
            </w:r>
            <w:r w:rsidR="00AF6110">
              <w:rPr>
                <w:rFonts w:ascii="Calibri" w:eastAsia="Times New Roman" w:hAnsi="Calibri" w:cs="Calibri"/>
                <w:sz w:val="16"/>
                <w:szCs w:val="16"/>
                <w:lang w:eastAsia="fr-FR"/>
              </w:rPr>
              <w:t>e</w:t>
            </w:r>
            <w:r w:rsidR="00F01948">
              <w:rPr>
                <w:rFonts w:ascii="Calibri" w:eastAsia="Times New Roman" w:hAnsi="Calibri" w:cs="Calibri"/>
                <w:sz w:val="16"/>
                <w:szCs w:val="16"/>
                <w:lang w:eastAsia="fr-FR"/>
              </w:rPr>
              <w:t xml:space="preserve"> démontr</w:t>
            </w:r>
            <w:r w:rsidR="00AF6110">
              <w:rPr>
                <w:rFonts w:ascii="Calibri" w:eastAsia="Times New Roman" w:hAnsi="Calibri" w:cs="Calibri"/>
                <w:sz w:val="16"/>
                <w:szCs w:val="16"/>
                <w:lang w:eastAsia="fr-FR"/>
              </w:rPr>
              <w:t>e pas l’existence</w:t>
            </w:r>
            <w:r w:rsidR="00F01948">
              <w:rPr>
                <w:rFonts w:ascii="Calibri" w:eastAsia="Times New Roman" w:hAnsi="Calibri" w:cs="Calibri"/>
                <w:sz w:val="16"/>
                <w:szCs w:val="16"/>
                <w:lang w:eastAsia="fr-FR"/>
              </w:rPr>
              <w:t xml:space="preserve"> d</w:t>
            </w:r>
            <w:r w:rsidR="00AF6110">
              <w:rPr>
                <w:rFonts w:ascii="Calibri" w:eastAsia="Times New Roman" w:hAnsi="Calibri" w:cs="Calibri"/>
                <w:sz w:val="16"/>
                <w:szCs w:val="16"/>
                <w:lang w:eastAsia="fr-FR"/>
              </w:rPr>
              <w:t>’éventuels</w:t>
            </w:r>
            <w:r w:rsidR="00F01948">
              <w:rPr>
                <w:rFonts w:ascii="Calibri" w:eastAsia="Times New Roman" w:hAnsi="Calibri" w:cs="Calibri"/>
                <w:sz w:val="16"/>
                <w:szCs w:val="16"/>
                <w:lang w:eastAsia="fr-FR"/>
              </w:rPr>
              <w:t xml:space="preserve"> revenus encaissés par les E</w:t>
            </w:r>
            <w:r w:rsidR="00AF6110">
              <w:rPr>
                <w:rFonts w:ascii="Calibri" w:eastAsia="Times New Roman" w:hAnsi="Calibri" w:cs="Calibri"/>
                <w:sz w:val="16"/>
                <w:szCs w:val="16"/>
                <w:lang w:eastAsia="fr-FR"/>
              </w:rPr>
              <w:t xml:space="preserve">ntreprises d’Etat </w:t>
            </w:r>
            <w:r w:rsidR="00C12D79">
              <w:rPr>
                <w:rFonts w:ascii="Calibri" w:eastAsia="Times New Roman" w:hAnsi="Calibri" w:cs="Calibri"/>
                <w:sz w:val="16"/>
                <w:szCs w:val="16"/>
                <w:lang w:eastAsia="fr-FR"/>
              </w:rPr>
              <w:t>non</w:t>
            </w:r>
            <w:r w:rsidR="00F01948">
              <w:rPr>
                <w:rFonts w:ascii="Calibri" w:eastAsia="Times New Roman" w:hAnsi="Calibri" w:cs="Calibri"/>
                <w:sz w:val="16"/>
                <w:szCs w:val="16"/>
                <w:lang w:eastAsia="fr-FR"/>
              </w:rPr>
              <w:t xml:space="preserve"> divulgués</w:t>
            </w:r>
            <w:r w:rsidR="00AF6110">
              <w:rPr>
                <w:rFonts w:ascii="Calibri" w:eastAsia="Times New Roman" w:hAnsi="Calibri" w:cs="Calibri"/>
                <w:sz w:val="16"/>
                <w:szCs w:val="16"/>
                <w:lang w:eastAsia="fr-FR"/>
              </w:rPr>
              <w:t xml:space="preserve"> </w:t>
            </w:r>
            <w:r w:rsidR="00C12D79">
              <w:rPr>
                <w:rFonts w:ascii="Calibri" w:eastAsia="Times New Roman" w:hAnsi="Calibri" w:cs="Calibri"/>
                <w:sz w:val="16"/>
                <w:szCs w:val="16"/>
                <w:lang w:eastAsia="fr-FR"/>
              </w:rPr>
              <w:t>par</w:t>
            </w:r>
            <w:r w:rsidR="00AF6110">
              <w:rPr>
                <w:rFonts w:ascii="Calibri" w:eastAsia="Times New Roman" w:hAnsi="Calibri" w:cs="Calibri"/>
                <w:sz w:val="16"/>
                <w:szCs w:val="16"/>
                <w:lang w:eastAsia="fr-FR"/>
              </w:rPr>
              <w:t xml:space="preserve"> l’ITIE-RDC</w:t>
            </w:r>
            <w:r w:rsidR="00C12D79">
              <w:rPr>
                <w:rFonts w:ascii="Calibri" w:eastAsia="Times New Roman" w:hAnsi="Calibri" w:cs="Calibri"/>
                <w:sz w:val="16"/>
                <w:szCs w:val="16"/>
                <w:lang w:eastAsia="fr-FR"/>
              </w:rPr>
              <w:t>,</w:t>
            </w:r>
            <w:r w:rsidR="00AF6110">
              <w:rPr>
                <w:rFonts w:ascii="Calibri" w:eastAsia="Times New Roman" w:hAnsi="Calibri" w:cs="Calibri"/>
                <w:sz w:val="16"/>
                <w:szCs w:val="16"/>
                <w:lang w:eastAsia="fr-FR"/>
              </w:rPr>
              <w:t xml:space="preserve"> et qui sont susceptibles</w:t>
            </w:r>
            <w:r w:rsidR="00F01948">
              <w:rPr>
                <w:rFonts w:ascii="Calibri" w:eastAsia="Times New Roman" w:hAnsi="Calibri" w:cs="Calibri"/>
                <w:sz w:val="16"/>
                <w:szCs w:val="16"/>
                <w:lang w:eastAsia="fr-FR"/>
              </w:rPr>
              <w:t xml:space="preserve"> </w:t>
            </w:r>
            <w:r w:rsidR="00AF6110">
              <w:rPr>
                <w:rFonts w:ascii="Calibri" w:eastAsia="Times New Roman" w:hAnsi="Calibri" w:cs="Calibri"/>
                <w:sz w:val="16"/>
                <w:szCs w:val="16"/>
                <w:lang w:eastAsia="fr-FR"/>
              </w:rPr>
              <w:t>d’</w:t>
            </w:r>
            <w:r w:rsidR="00F01948">
              <w:rPr>
                <w:rFonts w:ascii="Calibri" w:eastAsia="Times New Roman" w:hAnsi="Calibri" w:cs="Calibri"/>
                <w:sz w:val="16"/>
                <w:szCs w:val="16"/>
                <w:lang w:eastAsia="fr-FR"/>
              </w:rPr>
              <w:t>affecter l’exhaustivité.</w:t>
            </w:r>
          </w:p>
          <w:p w:rsidR="00D65BF5" w:rsidRPr="001F5CAC" w:rsidRDefault="00AF6110" w:rsidP="006D324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r>
              <w:rPr>
                <w:rFonts w:ascii="Calibri" w:eastAsia="Times New Roman" w:hAnsi="Calibri" w:cs="Calibri"/>
                <w:sz w:val="16"/>
                <w:szCs w:val="16"/>
                <w:lang w:eastAsia="fr-FR"/>
              </w:rPr>
              <w:t xml:space="preserve"> </w:t>
            </w:r>
          </w:p>
          <w:p w:rsidR="001F5CAC" w:rsidRPr="0027391A" w:rsidRDefault="0027391A" w:rsidP="001F5C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fr-FR"/>
              </w:rPr>
            </w:pPr>
            <w:r w:rsidRPr="0027391A">
              <w:rPr>
                <w:rFonts w:ascii="Calibri" w:eastAsia="Times New Roman" w:hAnsi="Calibri" w:cs="Calibri"/>
                <w:b/>
                <w:sz w:val="16"/>
                <w:szCs w:val="16"/>
                <w:lang w:eastAsia="fr-FR"/>
              </w:rPr>
              <w:t>Conclusion :</w:t>
            </w:r>
          </w:p>
          <w:p w:rsidR="0027391A" w:rsidRPr="0027391A" w:rsidRDefault="0027391A" w:rsidP="001F5C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6D324D" w:rsidRPr="00760930" w:rsidRDefault="0027391A" w:rsidP="0004601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Pr>
                <w:rFonts w:ascii="Calibri" w:eastAsia="Times New Roman" w:hAnsi="Calibri" w:cs="Calibri"/>
                <w:sz w:val="16"/>
                <w:szCs w:val="16"/>
                <w:lang w:eastAsia="fr-FR"/>
              </w:rPr>
              <w:t>Progrès satisfaisant avec recommandations.</w:t>
            </w:r>
          </w:p>
        </w:tc>
        <w:tc>
          <w:tcPr>
            <w:tcW w:w="977" w:type="dxa"/>
            <w:hideMark/>
          </w:tcPr>
          <w:p w:rsidR="008672C8" w:rsidRPr="00E83D79" w:rsidRDefault="008672C8" w:rsidP="00E83D7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FF"/>
                <w:sz w:val="16"/>
                <w:szCs w:val="16"/>
                <w:lang w:eastAsia="fr-FR"/>
              </w:rPr>
            </w:pPr>
            <w:r w:rsidRPr="00E83D79">
              <w:rPr>
                <w:rFonts w:ascii="Calibri" w:eastAsia="Times New Roman" w:hAnsi="Calibri" w:cs="Calibri"/>
                <w:b/>
                <w:bCs/>
                <w:color w:val="0000FF"/>
                <w:sz w:val="16"/>
                <w:szCs w:val="16"/>
                <w:lang w:eastAsia="fr-FR"/>
              </w:rPr>
              <w:t xml:space="preserve">Progrès </w:t>
            </w:r>
            <w:r w:rsidR="00E83D79">
              <w:rPr>
                <w:rFonts w:ascii="Calibri" w:eastAsia="Times New Roman" w:hAnsi="Calibri" w:cs="Calibri"/>
                <w:b/>
                <w:bCs/>
                <w:color w:val="0000FF"/>
                <w:sz w:val="16"/>
                <w:szCs w:val="16"/>
                <w:lang w:eastAsia="fr-FR"/>
              </w:rPr>
              <w:t>satisfaisant</w:t>
            </w:r>
          </w:p>
        </w:tc>
      </w:tr>
      <w:tr w:rsidR="008672C8" w:rsidRPr="00760930" w:rsidTr="00966F60">
        <w:trPr>
          <w:trHeight w:val="1428"/>
        </w:trPr>
        <w:tc>
          <w:tcPr>
            <w:cnfStyle w:val="001000000000" w:firstRow="0" w:lastRow="0" w:firstColumn="1" w:lastColumn="0" w:oddVBand="0" w:evenVBand="0" w:oddHBand="0" w:evenHBand="0" w:firstRowFirstColumn="0" w:firstRowLastColumn="0" w:lastRowFirstColumn="0" w:lastRowLastColumn="0"/>
            <w:tcW w:w="1165" w:type="dxa"/>
            <w:hideMark/>
          </w:tcPr>
          <w:p w:rsidR="008672C8" w:rsidRPr="00760930" w:rsidRDefault="008672C8" w:rsidP="008672C8">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lastRenderedPageBreak/>
              <w:t>Transactions des entreprises publiques</w:t>
            </w:r>
            <w:r w:rsidR="00882994">
              <w:rPr>
                <w:rFonts w:ascii="Calibri" w:eastAsia="Times New Roman" w:hAnsi="Calibri" w:cs="Calibri"/>
                <w:color w:val="000000"/>
                <w:sz w:val="16"/>
                <w:szCs w:val="16"/>
                <w:lang w:eastAsia="fr-FR"/>
              </w:rPr>
              <w:t xml:space="preserve"> </w:t>
            </w:r>
            <w:r w:rsidRPr="00760930">
              <w:rPr>
                <w:rFonts w:ascii="Calibri" w:eastAsia="Times New Roman" w:hAnsi="Calibri" w:cs="Calibri"/>
                <w:color w:val="000000"/>
                <w:sz w:val="16"/>
                <w:szCs w:val="16"/>
                <w:lang w:eastAsia="fr-FR"/>
              </w:rPr>
              <w:t>(4.5)</w:t>
            </w:r>
          </w:p>
        </w:tc>
        <w:tc>
          <w:tcPr>
            <w:tcW w:w="2716"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00"/>
                <w:sz w:val="16"/>
                <w:szCs w:val="16"/>
                <w:lang w:eastAsia="fr-FR"/>
              </w:rPr>
              <w:t>De l'exhaustivité des informations relatives aux transactions financières des EP</w:t>
            </w:r>
            <w:r w:rsidRPr="00760930">
              <w:rPr>
                <w:rFonts w:ascii="Calibri" w:eastAsia="Times New Roman" w:hAnsi="Calibri" w:cs="Calibri"/>
                <w:color w:val="000000"/>
                <w:sz w:val="16"/>
                <w:szCs w:val="16"/>
                <w:lang w:eastAsia="fr-FR"/>
              </w:rPr>
              <w:br/>
              <w:t xml:space="preserve">Le Rapport ITIE 2015 divulgue et rapproche les paiements des entreprises aux entreprises d’État et les transferts statutaires de ces dernières au gouvernement, tout en soulevant toutefois certaines préoccupations majeures, tant dans le rapport que lors des consultations avec les parties prenantes, quant à l’exhaustivité du rapprochement des paiements des entreprises aux entreprises d’État. Le rapport ne procède pas à la divulgation ni au rapprochement des transferts du gouvernement aux entreprises d’État, et ne mentionne pas non plus de transferts ad hoc d’entreprises d’État à des entités de l’État en dehors du Trésor public. En l’absence d’un seuil de matérialité pour la sélection des transactions des entreprises d’État aux fins du rapprochement, tous ces paiements et transferts auraient dû être divulgués et rapprochés dans leur intégralité. </w:t>
            </w:r>
          </w:p>
        </w:tc>
        <w:tc>
          <w:tcPr>
            <w:tcW w:w="1004"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 validateur a approuvé les conclusions du SI ainsi que le niveau de </w:t>
            </w:r>
            <w:r w:rsidRPr="007F7F67">
              <w:rPr>
                <w:rFonts w:ascii="Calibri" w:eastAsia="Times New Roman" w:hAnsi="Calibri" w:cs="Calibri"/>
                <w:b/>
                <w:color w:val="FF0000"/>
                <w:sz w:val="16"/>
                <w:szCs w:val="16"/>
                <w:lang w:eastAsia="fr-FR"/>
              </w:rPr>
              <w:t>progrès significatif</w:t>
            </w:r>
            <w:r w:rsidRPr="00760930">
              <w:rPr>
                <w:rFonts w:ascii="Calibri" w:eastAsia="Times New Roman" w:hAnsi="Calibri" w:cs="Calibri"/>
                <w:color w:val="000000"/>
                <w:sz w:val="16"/>
                <w:szCs w:val="16"/>
                <w:lang w:eastAsia="fr-FR"/>
              </w:rPr>
              <w:t xml:space="preserve"> </w:t>
            </w:r>
          </w:p>
        </w:tc>
        <w:tc>
          <w:tcPr>
            <w:tcW w:w="2072" w:type="dxa"/>
            <w:hideMark/>
          </w:tcPr>
          <w:p w:rsidR="00F207D0" w:rsidRDefault="00F207D0"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Pr>
                <w:rFonts w:ascii="Calibri" w:eastAsia="Times New Roman" w:hAnsi="Calibri" w:cs="Calibri"/>
                <w:color w:val="000000"/>
                <w:sz w:val="16"/>
                <w:szCs w:val="16"/>
                <w:lang w:eastAsia="fr-FR"/>
              </w:rPr>
              <w:t>Conformément à l’Exigence 4.5 :</w:t>
            </w:r>
          </w:p>
          <w:p w:rsidR="008672C8" w:rsidRPr="00F207D0" w:rsidRDefault="008672C8" w:rsidP="00F207D0">
            <w:pPr>
              <w:pStyle w:val="Paragraphedeliste"/>
              <w:numPr>
                <w:ilvl w:val="0"/>
                <w:numId w:val="12"/>
              </w:numPr>
              <w:tabs>
                <w:tab w:val="left" w:pos="15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la RDC devra s’assurer que le rôle des entreprises d’État, y compris les paiements des entreprises aux entreprises d’État et les transferts entre ces dernières et les entités de l’État, est divulgué publiquement dans son intégralité. Cette déclaration devra comprendre une divulgation et un rapprochement de toutes les transactions significatives impliquant des entreprises d’État. </w:t>
            </w:r>
          </w:p>
        </w:tc>
        <w:tc>
          <w:tcPr>
            <w:tcW w:w="1617"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D'accord avec  le niveau de progrès significatif</w:t>
            </w:r>
          </w:p>
        </w:tc>
        <w:tc>
          <w:tcPr>
            <w:tcW w:w="5118" w:type="dxa"/>
            <w:hideMark/>
          </w:tcPr>
          <w:p w:rsidR="008672C8"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Les actions visant à rencontrer la recommandation 18 du </w:t>
            </w:r>
            <w:r w:rsidR="000475C4" w:rsidRPr="00760930">
              <w:rPr>
                <w:rFonts w:ascii="Calibri" w:eastAsia="Times New Roman" w:hAnsi="Calibri" w:cs="Calibri"/>
                <w:color w:val="000000"/>
                <w:sz w:val="16"/>
                <w:szCs w:val="16"/>
                <w:lang w:eastAsia="fr-FR"/>
              </w:rPr>
              <w:t>Secrétariat</w:t>
            </w:r>
            <w:r w:rsidRPr="00760930">
              <w:rPr>
                <w:rFonts w:ascii="Calibri" w:eastAsia="Times New Roman" w:hAnsi="Calibri" w:cs="Calibri"/>
                <w:color w:val="000000"/>
                <w:sz w:val="16"/>
                <w:szCs w:val="16"/>
                <w:lang w:eastAsia="fr-FR"/>
              </w:rPr>
              <w:t xml:space="preserve"> International seront menées par le GMP</w:t>
            </w:r>
          </w:p>
          <w:p w:rsidR="0019449A" w:rsidRPr="0019449A" w:rsidRDefault="0019449A"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6"/>
                <w:szCs w:val="6"/>
                <w:lang w:eastAsia="fr-FR"/>
              </w:rPr>
            </w:pPr>
          </w:p>
          <w:p w:rsidR="0019449A" w:rsidRPr="00760930" w:rsidRDefault="0019449A" w:rsidP="0019449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b/>
                <w:bCs/>
                <w:sz w:val="16"/>
                <w:szCs w:val="16"/>
                <w:u w:val="single"/>
                <w:lang w:eastAsia="fr-FR"/>
              </w:rPr>
              <w:t>Précisions du C</w:t>
            </w:r>
            <w:r>
              <w:rPr>
                <w:rFonts w:ascii="Calibri" w:eastAsia="Times New Roman" w:hAnsi="Calibri" w:cs="Calibri"/>
                <w:b/>
                <w:bCs/>
                <w:sz w:val="16"/>
                <w:szCs w:val="16"/>
                <w:u w:val="single"/>
                <w:lang w:eastAsia="fr-FR"/>
              </w:rPr>
              <w:t>.</w:t>
            </w:r>
            <w:r w:rsidRPr="00760930">
              <w:rPr>
                <w:rFonts w:ascii="Calibri" w:eastAsia="Times New Roman" w:hAnsi="Calibri" w:cs="Calibri"/>
                <w:b/>
                <w:bCs/>
                <w:sz w:val="16"/>
                <w:szCs w:val="16"/>
                <w:u w:val="single"/>
                <w:lang w:eastAsia="fr-FR"/>
              </w:rPr>
              <w:t>E</w:t>
            </w:r>
            <w:r w:rsidRPr="00760930">
              <w:rPr>
                <w:rFonts w:ascii="Calibri" w:eastAsia="Times New Roman" w:hAnsi="Calibri" w:cs="Calibri"/>
                <w:b/>
                <w:bCs/>
                <w:sz w:val="16"/>
                <w:szCs w:val="16"/>
                <w:lang w:eastAsia="fr-FR"/>
              </w:rPr>
              <w:t xml:space="preserve"> :</w:t>
            </w:r>
            <w:r w:rsidRPr="00760930">
              <w:rPr>
                <w:rFonts w:ascii="Calibri" w:eastAsia="Times New Roman" w:hAnsi="Calibri" w:cs="Calibri"/>
                <w:sz w:val="16"/>
                <w:szCs w:val="16"/>
                <w:lang w:eastAsia="fr-FR"/>
              </w:rPr>
              <w:t xml:space="preserve"> </w:t>
            </w:r>
          </w:p>
          <w:p w:rsidR="00797925" w:rsidRPr="00740E0B" w:rsidRDefault="00797925"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6"/>
                <w:szCs w:val="6"/>
                <w:lang w:eastAsia="fr-FR"/>
              </w:rPr>
            </w:pPr>
          </w:p>
          <w:p w:rsidR="0019449A" w:rsidRDefault="00A4084A" w:rsidP="0079792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Pr>
                <w:rFonts w:ascii="Calibri" w:eastAsia="Times New Roman" w:hAnsi="Calibri" w:cs="Calibri"/>
                <w:color w:val="000000"/>
                <w:sz w:val="16"/>
                <w:szCs w:val="16"/>
                <w:lang w:eastAsia="fr-FR"/>
              </w:rPr>
              <w:t>L</w:t>
            </w:r>
            <w:r w:rsidR="00797925">
              <w:rPr>
                <w:rFonts w:ascii="Calibri" w:eastAsia="Times New Roman" w:hAnsi="Calibri" w:cs="Calibri"/>
                <w:color w:val="000000"/>
                <w:sz w:val="16"/>
                <w:szCs w:val="16"/>
                <w:lang w:eastAsia="fr-FR"/>
              </w:rPr>
              <w:t>e Comité Exécutif n’a pas connaissance de l’existence d’un quelconque transfert du Gouvernement aux Entreprises d’Etat ni de ces dernières à des entités de l’Etat, en dehors du Trésor Public</w:t>
            </w:r>
            <w:r>
              <w:rPr>
                <w:rFonts w:ascii="Calibri" w:eastAsia="Times New Roman" w:hAnsi="Calibri" w:cs="Calibri"/>
                <w:color w:val="000000"/>
                <w:sz w:val="16"/>
                <w:szCs w:val="16"/>
                <w:lang w:eastAsia="fr-FR"/>
              </w:rPr>
              <w:t>.</w:t>
            </w:r>
          </w:p>
          <w:p w:rsidR="00A4084A" w:rsidRPr="00740E0B" w:rsidRDefault="00A4084A" w:rsidP="0079792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6"/>
                <w:szCs w:val="6"/>
                <w:lang w:eastAsia="fr-FR"/>
              </w:rPr>
            </w:pPr>
          </w:p>
          <w:p w:rsidR="00A4084A" w:rsidRPr="00760930" w:rsidRDefault="00A4084A" w:rsidP="00A4084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Pr>
                <w:rFonts w:ascii="Calibri" w:eastAsia="Times New Roman" w:hAnsi="Calibri" w:cs="Calibri"/>
                <w:color w:val="000000"/>
                <w:sz w:val="16"/>
                <w:szCs w:val="16"/>
                <w:lang w:eastAsia="fr-FR"/>
              </w:rPr>
              <w:t>En ce qui concerne le seuil de matérialité, voir commentaire à l’Exigence 4.1.</w:t>
            </w:r>
          </w:p>
        </w:tc>
        <w:tc>
          <w:tcPr>
            <w:tcW w:w="977"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B0F0"/>
                <w:sz w:val="16"/>
                <w:szCs w:val="16"/>
                <w:lang w:eastAsia="fr-FR"/>
              </w:rPr>
            </w:pPr>
            <w:r w:rsidRPr="0027391A">
              <w:rPr>
                <w:rFonts w:ascii="Calibri" w:eastAsia="Times New Roman" w:hAnsi="Calibri" w:cs="Calibri"/>
                <w:b/>
                <w:bCs/>
                <w:color w:val="0000FF"/>
                <w:sz w:val="16"/>
                <w:szCs w:val="16"/>
                <w:lang w:eastAsia="fr-FR"/>
              </w:rPr>
              <w:t>Progrès Significatif</w:t>
            </w:r>
          </w:p>
        </w:tc>
      </w:tr>
      <w:tr w:rsidR="008672C8" w:rsidRPr="00760930" w:rsidTr="00966F60">
        <w:trPr>
          <w:trHeight w:val="3852"/>
        </w:trPr>
        <w:tc>
          <w:tcPr>
            <w:cnfStyle w:val="001000000000" w:firstRow="0" w:lastRow="0" w:firstColumn="1" w:lastColumn="0" w:oddVBand="0" w:evenVBand="0" w:oddHBand="0" w:evenHBand="0" w:firstRowFirstColumn="0" w:firstRowLastColumn="0" w:lastRowFirstColumn="0" w:lastRowLastColumn="0"/>
            <w:tcW w:w="1165" w:type="dxa"/>
            <w:hideMark/>
          </w:tcPr>
          <w:p w:rsidR="008672C8" w:rsidRPr="00760930" w:rsidRDefault="008672C8" w:rsidP="008672C8">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lastRenderedPageBreak/>
              <w:t>Paiements infranationaux</w:t>
            </w:r>
            <w:r w:rsidR="000475C4">
              <w:rPr>
                <w:rFonts w:ascii="Calibri" w:eastAsia="Times New Roman" w:hAnsi="Calibri" w:cs="Calibri"/>
                <w:color w:val="000000"/>
                <w:sz w:val="16"/>
                <w:szCs w:val="16"/>
                <w:lang w:eastAsia="fr-FR"/>
              </w:rPr>
              <w:t xml:space="preserve"> </w:t>
            </w:r>
            <w:r w:rsidRPr="00760930">
              <w:rPr>
                <w:rFonts w:ascii="Calibri" w:eastAsia="Times New Roman" w:hAnsi="Calibri" w:cs="Calibri"/>
                <w:color w:val="000000"/>
                <w:sz w:val="16"/>
                <w:szCs w:val="16"/>
                <w:lang w:eastAsia="fr-FR"/>
              </w:rPr>
              <w:t>(4.6)</w:t>
            </w:r>
          </w:p>
        </w:tc>
        <w:tc>
          <w:tcPr>
            <w:tcW w:w="2716"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00"/>
                <w:sz w:val="16"/>
                <w:szCs w:val="16"/>
                <w:lang w:eastAsia="fr-FR"/>
              </w:rPr>
              <w:t>De la matérialité et de l'existence d'autres paiements infranationaux spécifiques au secteur ou perçus par d'autres provinces</w:t>
            </w:r>
            <w:r w:rsidRPr="00760930">
              <w:rPr>
                <w:rFonts w:ascii="Calibri" w:eastAsia="Times New Roman" w:hAnsi="Calibri" w:cs="Calibri"/>
                <w:color w:val="000000"/>
                <w:sz w:val="16"/>
                <w:szCs w:val="16"/>
                <w:lang w:eastAsia="fr-FR"/>
              </w:rPr>
              <w:br/>
              <w:t xml:space="preserve">Le Rapport ITIE de RDC divulguait et rapprochait les paiements directs infranationaux dans le secteur minier versés à la Direction des Recettes du Katanga (DRKAT) en 2015. On ne dispose pas d’informations suffisamment claires sur la matérialité de ces paiements, sur l’existence d’autres types de paiements directs infranationaux qui ne sont revenus perçus par d’autres autorités provinciales que la DRKAT. L’étude de cadrage 2016 couvre une partie des aspects liés à la matérialité des paiements directs infranationaux, notant qu’aucun seuil de matérialité ne s’appliquait aux flux de revenus extractifs et présentant les divulgations unilatérales des paiements extractifs directs pour neuf des 26 provinces. </w:t>
            </w:r>
          </w:p>
        </w:tc>
        <w:tc>
          <w:tcPr>
            <w:tcW w:w="1004"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 validateur a approuvé les conclusions du SI ainsi que le niveau de </w:t>
            </w:r>
            <w:r w:rsidRPr="007F7F67">
              <w:rPr>
                <w:rFonts w:ascii="Calibri" w:eastAsia="Times New Roman" w:hAnsi="Calibri" w:cs="Calibri"/>
                <w:b/>
                <w:bCs/>
                <w:color w:val="FF0000"/>
                <w:sz w:val="16"/>
                <w:szCs w:val="16"/>
                <w:lang w:eastAsia="fr-FR"/>
              </w:rPr>
              <w:t xml:space="preserve">progrès significatif </w:t>
            </w:r>
          </w:p>
        </w:tc>
        <w:tc>
          <w:tcPr>
            <w:tcW w:w="2072" w:type="dxa"/>
            <w:hideMark/>
          </w:tcPr>
          <w:p w:rsidR="00F207D0" w:rsidRDefault="00F207D0"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Pr>
                <w:rFonts w:ascii="Calibri" w:eastAsia="Times New Roman" w:hAnsi="Calibri" w:cs="Calibri"/>
                <w:color w:val="000000"/>
                <w:sz w:val="16"/>
                <w:szCs w:val="16"/>
                <w:lang w:eastAsia="fr-FR"/>
              </w:rPr>
              <w:t>Conformément à l’Exigence 4.6 :</w:t>
            </w:r>
          </w:p>
          <w:p w:rsidR="00F207D0" w:rsidRDefault="008672C8" w:rsidP="00F207D0">
            <w:pPr>
              <w:pStyle w:val="Paragraphedeliste"/>
              <w:numPr>
                <w:ilvl w:val="0"/>
                <w:numId w:val="12"/>
              </w:numPr>
              <w:tabs>
                <w:tab w:val="left" w:pos="24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la RDC est encouragée à établir si les paiements infranationaux directs sont significatifs. La RDC devra clairement documenter la méthode de sélection et de rapprochement des flux de revenus, en s’appuyant sur les améliorations de l’étude de cadrage 2016. À la suite des modifications apportées à la législation minière en juin 2018,</w:t>
            </w:r>
          </w:p>
          <w:p w:rsidR="008672C8" w:rsidRPr="00F207D0" w:rsidRDefault="008672C8" w:rsidP="00F207D0">
            <w:pPr>
              <w:pStyle w:val="Paragraphedeliste"/>
              <w:numPr>
                <w:ilvl w:val="0"/>
                <w:numId w:val="12"/>
              </w:numPr>
              <w:tabs>
                <w:tab w:val="left" w:pos="24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 la RDC est encouragée à collaborer étroitement avec les gouvernements provinciaux pour divulguer systématiquement aux gouvernements infranationaux concernés des informations ponctuelles et exhaustives sur les paiements des redevances minières partagées.</w:t>
            </w:r>
          </w:p>
        </w:tc>
        <w:tc>
          <w:tcPr>
            <w:tcW w:w="1617"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Pas d'accord avec le validateur</w:t>
            </w:r>
          </w:p>
        </w:tc>
        <w:tc>
          <w:tcPr>
            <w:tcW w:w="5118" w:type="dxa"/>
            <w:hideMark/>
          </w:tcPr>
          <w:p w:rsidR="008672C8" w:rsidRPr="00760930" w:rsidRDefault="008672C8" w:rsidP="00A4084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S'agissant de la sélection des entreprises minières sur base de la matérialité, le Rapport</w:t>
            </w:r>
            <w:r w:rsidRPr="00760930">
              <w:rPr>
                <w:rFonts w:ascii="Calibri" w:eastAsia="Times New Roman" w:hAnsi="Calibri" w:cs="Calibri"/>
                <w:sz w:val="16"/>
                <w:szCs w:val="16"/>
                <w:lang w:eastAsia="fr-FR"/>
              </w:rPr>
              <w:t xml:space="preserve"> 2015</w:t>
            </w:r>
            <w:r w:rsidRPr="00760930">
              <w:rPr>
                <w:rFonts w:ascii="Calibri" w:eastAsia="Times New Roman" w:hAnsi="Calibri" w:cs="Calibri"/>
                <w:color w:val="FF0000"/>
                <w:sz w:val="16"/>
                <w:szCs w:val="16"/>
                <w:lang w:eastAsia="fr-FR"/>
              </w:rPr>
              <w:t xml:space="preserve"> </w:t>
            </w:r>
            <w:r w:rsidRPr="00760930">
              <w:rPr>
                <w:rFonts w:ascii="Calibri" w:eastAsia="Times New Roman" w:hAnsi="Calibri" w:cs="Calibri"/>
                <w:color w:val="000000"/>
                <w:sz w:val="16"/>
                <w:szCs w:val="16"/>
                <w:lang w:eastAsia="fr-FR"/>
              </w:rPr>
              <w:t xml:space="preserve">souligne que sur la base des résultats de l’analyse de la matérialité pour le secteur minier, le Comité Exécutif a </w:t>
            </w:r>
            <w:r w:rsidR="000475C4" w:rsidRPr="00760930">
              <w:rPr>
                <w:rFonts w:ascii="Calibri" w:eastAsia="Times New Roman" w:hAnsi="Calibri" w:cs="Calibri"/>
                <w:color w:val="000000"/>
                <w:sz w:val="16"/>
                <w:szCs w:val="16"/>
                <w:lang w:eastAsia="fr-FR"/>
              </w:rPr>
              <w:t>décidé</w:t>
            </w:r>
            <w:r w:rsidRPr="00760930">
              <w:rPr>
                <w:rFonts w:ascii="Calibri" w:eastAsia="Times New Roman" w:hAnsi="Calibri" w:cs="Calibri"/>
                <w:color w:val="000000"/>
                <w:sz w:val="16"/>
                <w:szCs w:val="16"/>
                <w:lang w:eastAsia="fr-FR"/>
              </w:rPr>
              <w:t xml:space="preserve"> d'inclure dans le </w:t>
            </w:r>
            <w:r w:rsidR="000475C4" w:rsidRPr="00760930">
              <w:rPr>
                <w:rFonts w:ascii="Calibri" w:eastAsia="Times New Roman" w:hAnsi="Calibri" w:cs="Calibri"/>
                <w:color w:val="000000"/>
                <w:sz w:val="16"/>
                <w:szCs w:val="16"/>
                <w:lang w:eastAsia="fr-FR"/>
              </w:rPr>
              <w:t>périmètre</w:t>
            </w:r>
            <w:r w:rsidRPr="00760930">
              <w:rPr>
                <w:rFonts w:ascii="Calibri" w:eastAsia="Times New Roman" w:hAnsi="Calibri" w:cs="Calibri"/>
                <w:color w:val="000000"/>
                <w:sz w:val="16"/>
                <w:szCs w:val="16"/>
                <w:lang w:eastAsia="fr-FR"/>
              </w:rPr>
              <w:t xml:space="preserve"> de conciliation toutes les entreprises minières dont le paiement total déclaré par les régies financières est  supérieur ou égal à 200 000USD</w:t>
            </w:r>
            <w:r w:rsidR="00A4084A">
              <w:rPr>
                <w:rFonts w:ascii="Calibri" w:eastAsia="Times New Roman" w:hAnsi="Calibri" w:cs="Calibri"/>
                <w:color w:val="000000"/>
                <w:sz w:val="16"/>
                <w:szCs w:val="16"/>
                <w:lang w:eastAsia="fr-FR"/>
              </w:rPr>
              <w:t xml:space="preserve"> (pp. 14 et 27 du Rapport 2015)</w:t>
            </w:r>
            <w:r w:rsidR="00A4084A" w:rsidRPr="00A23B34">
              <w:rPr>
                <w:rStyle w:val="Appelnotedebasdep"/>
                <w:rFonts w:ascii="Calibri" w:eastAsia="Times New Roman" w:hAnsi="Calibri" w:cs="Calibri"/>
                <w:color w:val="0000FF"/>
                <w:sz w:val="16"/>
                <w:szCs w:val="16"/>
                <w:lang w:eastAsia="fr-FR"/>
              </w:rPr>
              <w:footnoteReference w:id="7"/>
            </w:r>
            <w:r w:rsidRPr="00A4084A">
              <w:rPr>
                <w:rFonts w:ascii="Calibri" w:eastAsia="Times New Roman" w:hAnsi="Calibri" w:cs="Calibri"/>
                <w:sz w:val="16"/>
                <w:szCs w:val="16"/>
                <w:lang w:eastAsia="fr-FR"/>
              </w:rPr>
              <w:t>.</w:t>
            </w:r>
            <w:r w:rsidRPr="00760930">
              <w:rPr>
                <w:rFonts w:ascii="Calibri" w:eastAsia="Times New Roman" w:hAnsi="Calibri" w:cs="Calibri"/>
                <w:color w:val="FF0000"/>
                <w:sz w:val="16"/>
                <w:szCs w:val="16"/>
                <w:lang w:eastAsia="fr-FR"/>
              </w:rPr>
              <w:t xml:space="preserve"> </w:t>
            </w:r>
            <w:r w:rsidRPr="00760930">
              <w:rPr>
                <w:rFonts w:ascii="Calibri" w:eastAsia="Times New Roman" w:hAnsi="Calibri" w:cs="Calibri"/>
                <w:color w:val="FF0000"/>
                <w:sz w:val="16"/>
                <w:szCs w:val="16"/>
                <w:lang w:eastAsia="fr-FR"/>
              </w:rPr>
              <w:br/>
            </w:r>
            <w:r w:rsidRPr="00760930">
              <w:rPr>
                <w:rFonts w:ascii="Calibri" w:eastAsia="Times New Roman" w:hAnsi="Calibri" w:cs="Calibri"/>
                <w:sz w:val="16"/>
                <w:szCs w:val="16"/>
                <w:lang w:eastAsia="fr-FR"/>
              </w:rPr>
              <w:t xml:space="preserve">Il est aisément </w:t>
            </w:r>
            <w:r w:rsidR="000475C4" w:rsidRPr="00760930">
              <w:rPr>
                <w:rFonts w:ascii="Calibri" w:eastAsia="Times New Roman" w:hAnsi="Calibri" w:cs="Calibri"/>
                <w:sz w:val="16"/>
                <w:szCs w:val="16"/>
                <w:lang w:eastAsia="fr-FR"/>
              </w:rPr>
              <w:t>compréhensible</w:t>
            </w:r>
            <w:r w:rsidRPr="00760930">
              <w:rPr>
                <w:rFonts w:ascii="Calibri" w:eastAsia="Times New Roman" w:hAnsi="Calibri" w:cs="Calibri"/>
                <w:sz w:val="16"/>
                <w:szCs w:val="16"/>
                <w:lang w:eastAsia="fr-FR"/>
              </w:rPr>
              <w:t xml:space="preserve"> que ce seuil, du reste global, ne s'applique pas seulement à l'</w:t>
            </w:r>
            <w:r w:rsidR="000475C4" w:rsidRPr="00760930">
              <w:rPr>
                <w:rFonts w:ascii="Calibri" w:eastAsia="Times New Roman" w:hAnsi="Calibri" w:cs="Calibri"/>
                <w:sz w:val="16"/>
                <w:szCs w:val="16"/>
                <w:lang w:eastAsia="fr-FR"/>
              </w:rPr>
              <w:t>échelle</w:t>
            </w:r>
            <w:r w:rsidRPr="00760930">
              <w:rPr>
                <w:rFonts w:ascii="Calibri" w:eastAsia="Times New Roman" w:hAnsi="Calibri" w:cs="Calibri"/>
                <w:sz w:val="16"/>
                <w:szCs w:val="16"/>
                <w:lang w:eastAsia="fr-FR"/>
              </w:rPr>
              <w:t xml:space="preserve"> nationale mais l'est aussi pour les paiements </w:t>
            </w:r>
            <w:r w:rsidR="000475C4" w:rsidRPr="00760930">
              <w:rPr>
                <w:rFonts w:ascii="Calibri" w:eastAsia="Times New Roman" w:hAnsi="Calibri" w:cs="Calibri"/>
                <w:sz w:val="16"/>
                <w:szCs w:val="16"/>
                <w:lang w:eastAsia="fr-FR"/>
              </w:rPr>
              <w:t>perçus</w:t>
            </w:r>
            <w:r w:rsidRPr="00760930">
              <w:rPr>
                <w:rFonts w:ascii="Calibri" w:eastAsia="Times New Roman" w:hAnsi="Calibri" w:cs="Calibri"/>
                <w:sz w:val="16"/>
                <w:szCs w:val="16"/>
                <w:lang w:eastAsia="fr-FR"/>
              </w:rPr>
              <w:t xml:space="preserve"> par les provinces  pour autant qu'ils soient matériels, leur pleine divulgation soit effective et que le GMP soit satisfait du résultat. </w:t>
            </w:r>
            <w:r w:rsidRPr="00760930">
              <w:rPr>
                <w:rFonts w:ascii="Calibri" w:eastAsia="Times New Roman" w:hAnsi="Calibri" w:cs="Calibri"/>
                <w:sz w:val="16"/>
                <w:szCs w:val="16"/>
                <w:lang w:eastAsia="fr-FR"/>
              </w:rPr>
              <w:br/>
              <w:t xml:space="preserve">Le rapport de cadrage 2015 indique dans sa partie introductive </w:t>
            </w:r>
            <w:r w:rsidRPr="00A4084A">
              <w:rPr>
                <w:rFonts w:ascii="Calibri" w:eastAsia="Times New Roman" w:hAnsi="Calibri" w:cs="Calibri"/>
                <w:sz w:val="16"/>
                <w:szCs w:val="16"/>
                <w:lang w:eastAsia="fr-FR"/>
              </w:rPr>
              <w:t>(</w:t>
            </w:r>
            <w:r w:rsidR="00A23B34">
              <w:rPr>
                <w:rFonts w:ascii="Calibri" w:eastAsia="Times New Roman" w:hAnsi="Calibri" w:cs="Calibri"/>
                <w:sz w:val="16"/>
                <w:szCs w:val="16"/>
                <w:lang w:eastAsia="fr-FR"/>
              </w:rPr>
              <w:t>p</w:t>
            </w:r>
            <w:r w:rsidR="00A4084A">
              <w:rPr>
                <w:rFonts w:ascii="Calibri" w:eastAsia="Times New Roman" w:hAnsi="Calibri" w:cs="Calibri"/>
                <w:sz w:val="16"/>
                <w:szCs w:val="16"/>
                <w:lang w:eastAsia="fr-FR"/>
              </w:rPr>
              <w:t>.</w:t>
            </w:r>
            <w:r w:rsidR="00A23B34">
              <w:rPr>
                <w:rFonts w:ascii="Calibri" w:eastAsia="Times New Roman" w:hAnsi="Calibri" w:cs="Calibri"/>
                <w:sz w:val="16"/>
                <w:szCs w:val="16"/>
                <w:lang w:eastAsia="fr-FR"/>
              </w:rPr>
              <w:t>21</w:t>
            </w:r>
            <w:r w:rsidRPr="00A4084A">
              <w:rPr>
                <w:rFonts w:ascii="Calibri" w:eastAsia="Times New Roman" w:hAnsi="Calibri" w:cs="Calibri"/>
                <w:sz w:val="16"/>
                <w:szCs w:val="16"/>
                <w:lang w:eastAsia="fr-FR"/>
              </w:rPr>
              <w:t>)</w:t>
            </w:r>
            <w:r w:rsidR="00A4084A" w:rsidRPr="00A23B34">
              <w:rPr>
                <w:rStyle w:val="Appelnotedebasdep"/>
                <w:rFonts w:ascii="Calibri" w:eastAsia="Times New Roman" w:hAnsi="Calibri" w:cs="Calibri"/>
                <w:color w:val="0000FF"/>
                <w:sz w:val="16"/>
                <w:szCs w:val="16"/>
                <w:lang w:eastAsia="fr-FR"/>
              </w:rPr>
              <w:footnoteReference w:id="8"/>
            </w:r>
            <w:r w:rsidRPr="00760930">
              <w:rPr>
                <w:rFonts w:ascii="Calibri" w:eastAsia="Times New Roman" w:hAnsi="Calibri" w:cs="Calibri"/>
                <w:color w:val="FF0000"/>
                <w:sz w:val="16"/>
                <w:szCs w:val="16"/>
                <w:lang w:eastAsia="fr-FR"/>
              </w:rPr>
              <w:t xml:space="preserve"> </w:t>
            </w:r>
            <w:r w:rsidRPr="00760930">
              <w:rPr>
                <w:rFonts w:ascii="Calibri" w:eastAsia="Times New Roman" w:hAnsi="Calibri" w:cs="Calibri"/>
                <w:sz w:val="16"/>
                <w:szCs w:val="16"/>
                <w:lang w:eastAsia="fr-FR"/>
              </w:rPr>
              <w:t xml:space="preserve">que, dans la configuration de 2015, les provinces retenues dans son champ d'investigation sont celles  où se  déroulent principalement les opérations industrielles extractives, à savoir les Provinces du </w:t>
            </w:r>
            <w:r w:rsidR="000475C4" w:rsidRPr="00760930">
              <w:rPr>
                <w:rFonts w:ascii="Calibri" w:eastAsia="Times New Roman" w:hAnsi="Calibri" w:cs="Calibri"/>
                <w:sz w:val="16"/>
                <w:szCs w:val="16"/>
                <w:lang w:eastAsia="fr-FR"/>
              </w:rPr>
              <w:t>Kasaï</w:t>
            </w:r>
            <w:r w:rsidRPr="00760930">
              <w:rPr>
                <w:rFonts w:ascii="Calibri" w:eastAsia="Times New Roman" w:hAnsi="Calibri" w:cs="Calibri"/>
                <w:sz w:val="16"/>
                <w:szCs w:val="16"/>
                <w:lang w:eastAsia="fr-FR"/>
              </w:rPr>
              <w:t xml:space="preserve"> Oriental, Katanga, Bas Congo, Nord Kivu, Sud Kivu, Maniema et la Province Orientale. </w:t>
            </w:r>
            <w:r w:rsidRPr="00760930">
              <w:rPr>
                <w:rFonts w:ascii="Calibri" w:eastAsia="Times New Roman" w:hAnsi="Calibri" w:cs="Calibri"/>
                <w:sz w:val="16"/>
                <w:szCs w:val="16"/>
                <w:lang w:eastAsia="fr-FR"/>
              </w:rPr>
              <w:br/>
              <w:t xml:space="preserve">Comme  les TC, TVD, l'ICM et la taxe de développement, le rapport de cadrage 2016 a analysé l'existence d'éventuels autres types de paiements infranationaux qui ne sont pas spécifiques au secteur, c'est-à-dire ceux de droit commun. Après analyse, il s'est avéré que certains des paiements étaient matériels mais relevaient soit de l'artisanat minier soit de la forêt, secteurs hors champ de </w:t>
            </w:r>
            <w:r w:rsidR="000475C4" w:rsidRPr="00760930">
              <w:rPr>
                <w:rFonts w:ascii="Calibri" w:eastAsia="Times New Roman" w:hAnsi="Calibri" w:cs="Calibri"/>
                <w:sz w:val="16"/>
                <w:szCs w:val="16"/>
                <w:lang w:eastAsia="fr-FR"/>
              </w:rPr>
              <w:t>réconciliation</w:t>
            </w:r>
            <w:r w:rsidRPr="00760930">
              <w:rPr>
                <w:rFonts w:ascii="Calibri" w:eastAsia="Times New Roman" w:hAnsi="Calibri" w:cs="Calibri"/>
                <w:sz w:val="16"/>
                <w:szCs w:val="16"/>
                <w:lang w:eastAsia="fr-FR"/>
              </w:rPr>
              <w:t xml:space="preserve"> et d'autres n'étaient pas matériels, et donc ils ne devaient pas être sélectionnés. </w:t>
            </w:r>
            <w:r w:rsidRPr="00760930">
              <w:rPr>
                <w:rFonts w:ascii="Calibri" w:eastAsia="Times New Roman" w:hAnsi="Calibri" w:cs="Calibri"/>
                <w:sz w:val="16"/>
                <w:szCs w:val="16"/>
                <w:lang w:eastAsia="fr-FR"/>
              </w:rPr>
              <w:br/>
              <w:t xml:space="preserve">Au sujet de la sélection de l'Impôt sur Concession </w:t>
            </w:r>
            <w:r w:rsidR="000475C4" w:rsidRPr="00760930">
              <w:rPr>
                <w:rFonts w:ascii="Calibri" w:eastAsia="Times New Roman" w:hAnsi="Calibri" w:cs="Calibri"/>
                <w:sz w:val="16"/>
                <w:szCs w:val="16"/>
                <w:lang w:eastAsia="fr-FR"/>
              </w:rPr>
              <w:t>Minière</w:t>
            </w:r>
            <w:r w:rsidRPr="00760930">
              <w:rPr>
                <w:rFonts w:ascii="Calibri" w:eastAsia="Times New Roman" w:hAnsi="Calibri" w:cs="Calibri"/>
                <w:sz w:val="16"/>
                <w:szCs w:val="16"/>
                <w:lang w:eastAsia="fr-FR"/>
              </w:rPr>
              <w:t xml:space="preserve"> et d'hydrocarbures, quand bien même il </w:t>
            </w:r>
            <w:r w:rsidR="000475C4" w:rsidRPr="00760930">
              <w:rPr>
                <w:rFonts w:ascii="Calibri" w:eastAsia="Times New Roman" w:hAnsi="Calibri" w:cs="Calibri"/>
                <w:sz w:val="16"/>
                <w:szCs w:val="16"/>
                <w:lang w:eastAsia="fr-FR"/>
              </w:rPr>
              <w:t>représenterait</w:t>
            </w:r>
            <w:r w:rsidRPr="00760930">
              <w:rPr>
                <w:rFonts w:ascii="Calibri" w:eastAsia="Times New Roman" w:hAnsi="Calibri" w:cs="Calibri"/>
                <w:sz w:val="16"/>
                <w:szCs w:val="16"/>
                <w:lang w:eastAsia="fr-FR"/>
              </w:rPr>
              <w:t xml:space="preserve"> 0,01% de l'ensemble des revenus du secteur minier, il est bon de rappeler qu'il a été sélectionné en tant que flux spécifique sans application de la matérialité et aussi en vertu des dispositions 4.1 b) vii. </w:t>
            </w:r>
            <w:r w:rsidRPr="00760930">
              <w:rPr>
                <w:rFonts w:ascii="Calibri" w:eastAsia="Times New Roman" w:hAnsi="Calibri" w:cs="Calibri"/>
                <w:sz w:val="16"/>
                <w:szCs w:val="16"/>
                <w:lang w:eastAsia="fr-FR"/>
              </w:rPr>
              <w:br/>
              <w:t>De ce qui précède, le GMP est d'avis que tous les aspects de l'exigence sont satisfaits, en conséquence,</w:t>
            </w:r>
            <w:r w:rsidRPr="00760930">
              <w:rPr>
                <w:rFonts w:ascii="Calibri" w:eastAsia="Times New Roman" w:hAnsi="Calibri" w:cs="Calibri"/>
                <w:b/>
                <w:bCs/>
                <w:color w:val="FF0000"/>
                <w:sz w:val="16"/>
                <w:szCs w:val="16"/>
                <w:lang w:eastAsia="fr-FR"/>
              </w:rPr>
              <w:t xml:space="preserve"> </w:t>
            </w:r>
            <w:r w:rsidRPr="00A4084A">
              <w:rPr>
                <w:rFonts w:ascii="Calibri" w:eastAsia="Times New Roman" w:hAnsi="Calibri" w:cs="Calibri"/>
                <w:b/>
                <w:bCs/>
                <w:color w:val="0000FF"/>
                <w:sz w:val="16"/>
                <w:szCs w:val="16"/>
                <w:lang w:eastAsia="fr-FR"/>
              </w:rPr>
              <w:t xml:space="preserve">le niveau de progrès est satisfaisant. </w:t>
            </w:r>
          </w:p>
        </w:tc>
        <w:tc>
          <w:tcPr>
            <w:tcW w:w="977"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B0F0"/>
                <w:sz w:val="16"/>
                <w:szCs w:val="16"/>
                <w:lang w:eastAsia="fr-FR"/>
              </w:rPr>
            </w:pPr>
            <w:r w:rsidRPr="000475C4">
              <w:rPr>
                <w:rFonts w:ascii="Calibri" w:eastAsia="Times New Roman" w:hAnsi="Calibri" w:cs="Calibri"/>
                <w:b/>
                <w:bCs/>
                <w:color w:val="0000FF"/>
                <w:sz w:val="16"/>
                <w:szCs w:val="16"/>
                <w:lang w:eastAsia="fr-FR"/>
              </w:rPr>
              <w:t>Progrès Satisfaisant</w:t>
            </w:r>
          </w:p>
        </w:tc>
      </w:tr>
      <w:tr w:rsidR="008672C8" w:rsidRPr="00760930" w:rsidTr="00966F60">
        <w:trPr>
          <w:trHeight w:val="5256"/>
        </w:trPr>
        <w:tc>
          <w:tcPr>
            <w:cnfStyle w:val="001000000000" w:firstRow="0" w:lastRow="0" w:firstColumn="1" w:lastColumn="0" w:oddVBand="0" w:evenVBand="0" w:oddHBand="0" w:evenHBand="0" w:firstRowFirstColumn="0" w:firstRowLastColumn="0" w:lastRowFirstColumn="0" w:lastRowLastColumn="0"/>
            <w:tcW w:w="1165" w:type="dxa"/>
            <w:hideMark/>
          </w:tcPr>
          <w:p w:rsidR="008672C8" w:rsidRPr="00760930" w:rsidRDefault="008672C8" w:rsidP="008672C8">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lastRenderedPageBreak/>
              <w:t>Qualité des données (4.9)</w:t>
            </w:r>
          </w:p>
        </w:tc>
        <w:tc>
          <w:tcPr>
            <w:tcW w:w="2716"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00"/>
                <w:sz w:val="16"/>
                <w:szCs w:val="16"/>
                <w:lang w:eastAsia="fr-FR"/>
              </w:rPr>
              <w:t>De la procédure de recrutement de l'AI</w:t>
            </w:r>
            <w:r w:rsidRPr="00760930">
              <w:rPr>
                <w:rFonts w:ascii="Calibri" w:eastAsia="Times New Roman" w:hAnsi="Calibri" w:cs="Calibri"/>
                <w:color w:val="000000"/>
                <w:sz w:val="16"/>
                <w:szCs w:val="16"/>
                <w:lang w:eastAsia="fr-FR"/>
              </w:rPr>
              <w:br/>
              <w:t xml:space="preserve">Le Groupe multipartite a assuré la supervision du recrutement de l’Administrateur Indépendant, l’approbation des </w:t>
            </w:r>
            <w:proofErr w:type="spellStart"/>
            <w:r w:rsidRPr="00760930">
              <w:rPr>
                <w:rFonts w:ascii="Calibri" w:eastAsia="Times New Roman" w:hAnsi="Calibri" w:cs="Calibri"/>
                <w:color w:val="000000"/>
                <w:sz w:val="16"/>
                <w:szCs w:val="16"/>
                <w:lang w:eastAsia="fr-FR"/>
              </w:rPr>
              <w:t>TdR</w:t>
            </w:r>
            <w:proofErr w:type="spellEnd"/>
            <w:r w:rsidRPr="00760930">
              <w:rPr>
                <w:rFonts w:ascii="Calibri" w:eastAsia="Times New Roman" w:hAnsi="Calibri" w:cs="Calibri"/>
                <w:color w:val="000000"/>
                <w:sz w:val="16"/>
                <w:szCs w:val="16"/>
                <w:lang w:eastAsia="fr-FR"/>
              </w:rPr>
              <w:t xml:space="preserve"> pour l’Administrateur Indépendant qui étaient conformes aux </w:t>
            </w:r>
            <w:proofErr w:type="spellStart"/>
            <w:r w:rsidRPr="00760930">
              <w:rPr>
                <w:rFonts w:ascii="Calibri" w:eastAsia="Times New Roman" w:hAnsi="Calibri" w:cs="Calibri"/>
                <w:color w:val="000000"/>
                <w:sz w:val="16"/>
                <w:szCs w:val="16"/>
                <w:lang w:eastAsia="fr-FR"/>
              </w:rPr>
              <w:t>TdR</w:t>
            </w:r>
            <w:proofErr w:type="spellEnd"/>
            <w:r w:rsidRPr="00760930">
              <w:rPr>
                <w:rFonts w:ascii="Calibri" w:eastAsia="Times New Roman" w:hAnsi="Calibri" w:cs="Calibri"/>
                <w:color w:val="000000"/>
                <w:sz w:val="16"/>
                <w:szCs w:val="16"/>
                <w:lang w:eastAsia="fr-FR"/>
              </w:rPr>
              <w:t xml:space="preserve"> standard et l’approbation des formulaires de déclaration. Les parties prenantes n’ont pas soulevé d’inquiétudes concernant le processus de recrutement et le professionnalisme de l’Administrateur Indépendant.</w:t>
            </w:r>
            <w:r w:rsidRPr="00760930">
              <w:rPr>
                <w:rFonts w:ascii="Calibri" w:eastAsia="Times New Roman" w:hAnsi="Calibri" w:cs="Calibri"/>
                <w:color w:val="000000"/>
                <w:sz w:val="16"/>
                <w:szCs w:val="16"/>
                <w:lang w:eastAsia="fr-FR"/>
              </w:rPr>
              <w:br/>
            </w:r>
            <w:r w:rsidRPr="00760930">
              <w:rPr>
                <w:rFonts w:ascii="Calibri" w:eastAsia="Times New Roman" w:hAnsi="Calibri" w:cs="Calibri"/>
                <w:b/>
                <w:bCs/>
                <w:color w:val="000000"/>
                <w:sz w:val="16"/>
                <w:szCs w:val="16"/>
                <w:lang w:eastAsia="fr-FR"/>
              </w:rPr>
              <w:t>De la procédure de fia</w:t>
            </w:r>
            <w:r w:rsidR="000475C4">
              <w:rPr>
                <w:rFonts w:ascii="Calibri" w:eastAsia="Times New Roman" w:hAnsi="Calibri" w:cs="Calibri"/>
                <w:b/>
                <w:bCs/>
                <w:color w:val="000000"/>
                <w:sz w:val="16"/>
                <w:szCs w:val="16"/>
                <w:lang w:eastAsia="fr-FR"/>
              </w:rPr>
              <w:t>bi</w:t>
            </w:r>
            <w:r w:rsidRPr="00760930">
              <w:rPr>
                <w:rFonts w:ascii="Calibri" w:eastAsia="Times New Roman" w:hAnsi="Calibri" w:cs="Calibri"/>
                <w:b/>
                <w:bCs/>
                <w:color w:val="000000"/>
                <w:sz w:val="16"/>
                <w:szCs w:val="16"/>
                <w:lang w:eastAsia="fr-FR"/>
              </w:rPr>
              <w:t>lisation</w:t>
            </w:r>
            <w:r w:rsidR="000475C4">
              <w:rPr>
                <w:rFonts w:ascii="Calibri" w:eastAsia="Times New Roman" w:hAnsi="Calibri" w:cs="Calibri"/>
                <w:b/>
                <w:bCs/>
                <w:color w:val="000000"/>
                <w:sz w:val="16"/>
                <w:szCs w:val="16"/>
                <w:lang w:eastAsia="fr-FR"/>
              </w:rPr>
              <w:t xml:space="preserve"> </w:t>
            </w:r>
            <w:r w:rsidRPr="00760930">
              <w:rPr>
                <w:rFonts w:ascii="Calibri" w:eastAsia="Times New Roman" w:hAnsi="Calibri" w:cs="Calibri"/>
                <w:color w:val="000000"/>
                <w:sz w:val="16"/>
                <w:szCs w:val="16"/>
                <w:lang w:eastAsia="fr-FR"/>
              </w:rPr>
              <w:br/>
              <w:t xml:space="preserve"> Le Rapport ITIE 2015 donne un aperçu des procédures d’audit légal et des pratiques d’audit réelles pour 2015. Il décrit également la méthodologie d’assurance qualité convenue par le Groupe multipartite pour le Rapport ITIE 2015. </w:t>
            </w:r>
            <w:r w:rsidRPr="00760930">
              <w:rPr>
                <w:rFonts w:ascii="Calibri" w:eastAsia="Times New Roman" w:hAnsi="Calibri" w:cs="Calibri"/>
                <w:color w:val="000000"/>
                <w:sz w:val="16"/>
                <w:szCs w:val="16"/>
                <w:lang w:eastAsia="fr-FR"/>
              </w:rPr>
              <w:br/>
            </w:r>
            <w:r w:rsidRPr="00760930">
              <w:rPr>
                <w:rFonts w:ascii="Calibri" w:eastAsia="Times New Roman" w:hAnsi="Calibri" w:cs="Calibri"/>
                <w:b/>
                <w:bCs/>
                <w:color w:val="000000"/>
                <w:sz w:val="16"/>
                <w:szCs w:val="16"/>
                <w:lang w:eastAsia="fr-FR"/>
              </w:rPr>
              <w:t>Du suivi des recommandations</w:t>
            </w:r>
            <w:r w:rsidRPr="00760930">
              <w:rPr>
                <w:rFonts w:ascii="Calibri" w:eastAsia="Times New Roman" w:hAnsi="Calibri" w:cs="Calibri"/>
                <w:color w:val="000000"/>
                <w:sz w:val="16"/>
                <w:szCs w:val="16"/>
                <w:lang w:eastAsia="fr-FR"/>
              </w:rPr>
              <w:br/>
              <w:t xml:space="preserve">Le Rapport ITIE indiquait clairement les sources de données et présentait une vue d’ensemble du suivi des recommandations passées ainsi qu’un nouvel ensemble de recommandations pour 2016. Les fichiers de données résumées pour l’année sous revue étaient accessibles au public. </w:t>
            </w:r>
            <w:r w:rsidRPr="00760930">
              <w:rPr>
                <w:rFonts w:ascii="Calibri" w:eastAsia="Times New Roman" w:hAnsi="Calibri" w:cs="Calibri"/>
                <w:color w:val="000000"/>
                <w:sz w:val="16"/>
                <w:szCs w:val="16"/>
                <w:lang w:eastAsia="fr-FR"/>
              </w:rPr>
              <w:br/>
            </w:r>
            <w:r w:rsidRPr="00760930">
              <w:rPr>
                <w:rFonts w:ascii="Calibri" w:eastAsia="Times New Roman" w:hAnsi="Calibri" w:cs="Calibri"/>
                <w:b/>
                <w:bCs/>
                <w:color w:val="000000"/>
                <w:sz w:val="16"/>
                <w:szCs w:val="16"/>
                <w:lang w:eastAsia="fr-FR"/>
              </w:rPr>
              <w:t>De l'opinion de l'AI sur la fiabilité des données du rapport 2015</w:t>
            </w:r>
            <w:r w:rsidRPr="00760930">
              <w:rPr>
                <w:rFonts w:ascii="Calibri" w:eastAsia="Times New Roman" w:hAnsi="Calibri" w:cs="Calibri"/>
                <w:color w:val="000000"/>
                <w:sz w:val="16"/>
                <w:szCs w:val="16"/>
                <w:lang w:eastAsia="fr-FR"/>
              </w:rPr>
              <w:br/>
              <w:t xml:space="preserve">Toutefois, bien que le rapport comprenne l’évaluation de l’Administrateur Indépendant, selon laquelle les données ITIE rapprochées étaient exhaustives et fiables, on ne sait pas clairement ce sur quoi se fonde cette conclusion au vu des </w:t>
            </w:r>
            <w:r w:rsidRPr="00760930">
              <w:rPr>
                <w:rFonts w:ascii="Calibri" w:eastAsia="Times New Roman" w:hAnsi="Calibri" w:cs="Calibri"/>
                <w:color w:val="000000"/>
                <w:sz w:val="16"/>
                <w:szCs w:val="16"/>
                <w:lang w:eastAsia="fr-FR"/>
              </w:rPr>
              <w:lastRenderedPageBreak/>
              <w:t xml:space="preserve">écarts substantiels dans le respect par les entreprises et le gouvernement des garanties d’assurance qualité convenues pour la déclaration ITIE. Plusieurs parties prenantes consultées se sont dites inquiètes de la fiabilité des données. </w:t>
            </w:r>
            <w:r w:rsidRPr="00760930">
              <w:rPr>
                <w:rFonts w:ascii="Calibri" w:eastAsia="Times New Roman" w:hAnsi="Calibri" w:cs="Calibri"/>
                <w:color w:val="000000"/>
                <w:sz w:val="16"/>
                <w:szCs w:val="16"/>
                <w:lang w:eastAsia="fr-FR"/>
              </w:rPr>
              <w:br/>
              <w:t>Néanmoins, le Rapport ITIE 2015 mentionne les noms des entreprises déclarantes et des entités de l’État qui n’avaient pas respecté les garanties d’assurance qualité intervenues, et il est possible d’évaluer la matérialité de leurs paiements sur la base des données contenues dans le rapport.</w:t>
            </w:r>
            <w:r w:rsidRPr="00760930">
              <w:rPr>
                <w:rFonts w:ascii="Calibri" w:eastAsia="Times New Roman" w:hAnsi="Calibri" w:cs="Calibri"/>
                <w:color w:val="000000"/>
                <w:sz w:val="16"/>
                <w:szCs w:val="16"/>
                <w:lang w:eastAsia="fr-FR"/>
              </w:rPr>
              <w:br/>
              <w:t xml:space="preserve"> </w:t>
            </w:r>
            <w:r w:rsidRPr="00760930">
              <w:rPr>
                <w:rFonts w:ascii="Calibri" w:eastAsia="Times New Roman" w:hAnsi="Calibri" w:cs="Calibri"/>
                <w:b/>
                <w:bCs/>
                <w:i/>
                <w:iCs/>
                <w:color w:val="000000"/>
                <w:sz w:val="16"/>
                <w:szCs w:val="16"/>
                <w:lang w:eastAsia="fr-FR"/>
              </w:rPr>
              <w:t xml:space="preserve">Malgré la satisfaction à des aspects importants de l’Exigence 4.9, le Secrétariat estime que l’objectif général de fiabilité des données n’a pas encore été pleinement réalisé. </w:t>
            </w:r>
          </w:p>
        </w:tc>
        <w:tc>
          <w:tcPr>
            <w:tcW w:w="1004"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 xml:space="preserve">Le validateur a approuvé les conclusions du SI ainsi que le niveau de </w:t>
            </w:r>
            <w:r w:rsidRPr="007F7F67">
              <w:rPr>
                <w:rFonts w:ascii="Calibri" w:eastAsia="Times New Roman" w:hAnsi="Calibri" w:cs="Calibri"/>
                <w:b/>
                <w:bCs/>
                <w:color w:val="FF0000"/>
                <w:sz w:val="16"/>
                <w:szCs w:val="16"/>
                <w:lang w:eastAsia="fr-FR"/>
              </w:rPr>
              <w:t xml:space="preserve">progrès significatif </w:t>
            </w:r>
          </w:p>
        </w:tc>
        <w:tc>
          <w:tcPr>
            <w:tcW w:w="2072" w:type="dxa"/>
            <w:hideMark/>
          </w:tcPr>
          <w:p w:rsidR="00F207D0" w:rsidRDefault="00F207D0"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Pr>
                <w:rFonts w:ascii="Calibri" w:eastAsia="Times New Roman" w:hAnsi="Calibri" w:cs="Calibri"/>
                <w:color w:val="000000"/>
                <w:sz w:val="16"/>
                <w:szCs w:val="16"/>
                <w:lang w:eastAsia="fr-FR"/>
              </w:rPr>
              <w:t>Conformément à l’Exigence 4.9 :</w:t>
            </w:r>
          </w:p>
          <w:p w:rsidR="00F207D0" w:rsidRDefault="008672C8" w:rsidP="00F207D0">
            <w:pPr>
              <w:pStyle w:val="Paragraphedeliste"/>
              <w:numPr>
                <w:ilvl w:val="0"/>
                <w:numId w:val="12"/>
              </w:numPr>
              <w:tabs>
                <w:tab w:val="left" w:pos="17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la RDC devra examiner les garanties d’assurance qualité convenues qui sont exigées des entreprises et des entités de l’État pour leurs déclarations ITIE. </w:t>
            </w:r>
          </w:p>
          <w:p w:rsidR="008672C8" w:rsidRPr="00F207D0" w:rsidRDefault="008672C8" w:rsidP="00F207D0">
            <w:pPr>
              <w:pStyle w:val="Paragraphedeliste"/>
              <w:numPr>
                <w:ilvl w:val="0"/>
                <w:numId w:val="12"/>
              </w:numPr>
              <w:tabs>
                <w:tab w:val="left" w:pos="17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La RDC pourrait souhaiter s’assurer que des délais de collecte des données soient établis en vue de garantir le respect intégral des garanties d’assurance qualité convenues pour la déclaration ITIE</w:t>
            </w:r>
          </w:p>
        </w:tc>
        <w:tc>
          <w:tcPr>
            <w:tcW w:w="1617"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Pas d'accord avec le validateur</w:t>
            </w:r>
          </w:p>
        </w:tc>
        <w:tc>
          <w:tcPr>
            <w:tcW w:w="5118" w:type="dxa"/>
          </w:tcPr>
          <w:p w:rsidR="00A23B34" w:rsidRPr="00A23B34" w:rsidRDefault="007040BD"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Pr>
                <w:rFonts w:ascii="Calibri" w:hAnsi="Calibri" w:cs="Calibri"/>
                <w:sz w:val="16"/>
                <w:szCs w:val="16"/>
              </w:rPr>
              <w:t>Rappel du mécanisme de fiabilisation adopté par le GMP et</w:t>
            </w:r>
            <w:r w:rsidR="00A23B34" w:rsidRPr="00A23B34">
              <w:rPr>
                <w:rFonts w:ascii="Calibri" w:hAnsi="Calibri" w:cs="Calibri"/>
                <w:sz w:val="16"/>
                <w:szCs w:val="16"/>
              </w:rPr>
              <w:t xml:space="preserve"> convenu avec l’Administrateur Indépendant :</w:t>
            </w:r>
          </w:p>
          <w:p w:rsidR="00A23B34"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sz w:val="16"/>
                <w:szCs w:val="16"/>
              </w:rPr>
            </w:pPr>
            <w:r w:rsidRPr="00A23B34">
              <w:rPr>
                <w:rFonts w:ascii="Calibri" w:hAnsi="Calibri" w:cs="Calibri"/>
                <w:b/>
                <w:sz w:val="16"/>
                <w:szCs w:val="16"/>
              </w:rPr>
              <w:t xml:space="preserve">Pour les entreprises : </w:t>
            </w:r>
          </w:p>
          <w:p w:rsidR="00A23B34"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16"/>
                <w:szCs w:val="16"/>
              </w:rPr>
            </w:pPr>
            <w:r w:rsidRPr="00A23B34">
              <w:rPr>
                <w:rFonts w:ascii="Calibri" w:hAnsi="Calibri" w:cs="Calibri"/>
                <w:i/>
                <w:sz w:val="16"/>
                <w:szCs w:val="16"/>
              </w:rPr>
              <w:t xml:space="preserve">(a) Pour les entreprises extractives ayant l’obligation de désigner un Commissaire aux Comptes (CAC), le formulaire de déclaration doit : </w:t>
            </w:r>
          </w:p>
          <w:p w:rsidR="00A23B34" w:rsidRPr="00A23B34" w:rsidRDefault="00A23B34" w:rsidP="00A23B34">
            <w:pPr>
              <w:pStyle w:val="Paragraphedeliste"/>
              <w:numPr>
                <w:ilvl w:val="0"/>
                <w:numId w:val="7"/>
              </w:numPr>
              <w:spacing w:line="256" w:lineRule="auto"/>
              <w:ind w:left="240" w:hanging="141"/>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16"/>
                <w:szCs w:val="16"/>
              </w:rPr>
            </w:pPr>
            <w:r w:rsidRPr="00A23B34">
              <w:rPr>
                <w:rFonts w:ascii="Calibri" w:hAnsi="Calibri" w:cs="Calibri"/>
                <w:i/>
                <w:sz w:val="16"/>
                <w:szCs w:val="16"/>
              </w:rPr>
              <w:t xml:space="preserve">porter la signature d’un haut responsable ou d’une personne habilitée à engager l’entreprise et doit être accompagné des états financiers certifiés de l’entreprise pour l’année 2015 ou de tout autre document signé par le Commissaire aux comptes attestant la certification des états financiers de 2015 ; </w:t>
            </w:r>
            <w:r w:rsidRPr="00A23B34">
              <w:rPr>
                <w:rFonts w:ascii="Calibri" w:hAnsi="Calibri" w:cs="Calibri"/>
                <w:b/>
                <w:i/>
                <w:sz w:val="16"/>
                <w:szCs w:val="16"/>
              </w:rPr>
              <w:t>ou</w:t>
            </w:r>
          </w:p>
          <w:p w:rsidR="00A23B34" w:rsidRPr="00A23B34" w:rsidRDefault="00A23B34" w:rsidP="00A23B34">
            <w:pPr>
              <w:pStyle w:val="Paragraphedeliste"/>
              <w:numPr>
                <w:ilvl w:val="0"/>
                <w:numId w:val="7"/>
              </w:numPr>
              <w:ind w:left="240" w:hanging="141"/>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16"/>
                <w:szCs w:val="16"/>
              </w:rPr>
            </w:pPr>
            <w:r w:rsidRPr="00A23B34">
              <w:rPr>
                <w:rFonts w:ascii="Calibri" w:hAnsi="Calibri" w:cs="Calibri"/>
                <w:i/>
                <w:sz w:val="16"/>
                <w:szCs w:val="16"/>
              </w:rPr>
              <w:t xml:space="preserve">porter la signature d’un haut responsable ou d’une personne habilitée à engager l’entreprise et être certifié par un auditeur externe (qui peut être le commissaire aux comptes).  </w:t>
            </w:r>
          </w:p>
          <w:p w:rsidR="00A23B34"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16"/>
                <w:szCs w:val="16"/>
              </w:rPr>
            </w:pPr>
            <w:r w:rsidRPr="00A23B34">
              <w:rPr>
                <w:rFonts w:ascii="Calibri" w:hAnsi="Calibri" w:cs="Calibri"/>
                <w:i/>
                <w:sz w:val="16"/>
                <w:szCs w:val="16"/>
              </w:rPr>
              <w:t xml:space="preserve">(b) Pour les sociétés à responsabilité limitée n’ayant pas l’obligation de désigner un Commissaire aux Comptes, le formulaire de déclaration doit porter la signature d’un haut responsable ou d’une personne habilitée à engager l’entreprise. </w:t>
            </w:r>
          </w:p>
          <w:p w:rsidR="00A23B34"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sz w:val="16"/>
                <w:szCs w:val="16"/>
              </w:rPr>
            </w:pPr>
            <w:r w:rsidRPr="00A23B34">
              <w:rPr>
                <w:rFonts w:ascii="Calibri" w:hAnsi="Calibri" w:cs="Calibri"/>
                <w:b/>
                <w:sz w:val="16"/>
                <w:szCs w:val="16"/>
              </w:rPr>
              <w:t>Pour les régies financières :</w:t>
            </w:r>
          </w:p>
          <w:p w:rsidR="00A23B34"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16"/>
                <w:szCs w:val="16"/>
              </w:rPr>
            </w:pPr>
            <w:r w:rsidRPr="00A23B34">
              <w:rPr>
                <w:rFonts w:ascii="Calibri" w:hAnsi="Calibri" w:cs="Calibri"/>
                <w:i/>
                <w:sz w:val="16"/>
                <w:szCs w:val="16"/>
              </w:rPr>
              <w:t xml:space="preserve"> Le formulaire de déclaration doit : </w:t>
            </w:r>
          </w:p>
          <w:p w:rsidR="00A23B34" w:rsidRPr="00A23B34" w:rsidRDefault="00A23B34" w:rsidP="00A23B34">
            <w:pPr>
              <w:pStyle w:val="Paragraphedeliste"/>
              <w:numPr>
                <w:ilvl w:val="0"/>
                <w:numId w:val="7"/>
              </w:numPr>
              <w:spacing w:line="256" w:lineRule="auto"/>
              <w:ind w:left="240" w:hanging="141"/>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16"/>
                <w:szCs w:val="16"/>
              </w:rPr>
            </w:pPr>
            <w:r w:rsidRPr="00A23B34">
              <w:rPr>
                <w:rFonts w:ascii="Calibri" w:hAnsi="Calibri" w:cs="Calibri"/>
                <w:i/>
                <w:sz w:val="16"/>
                <w:szCs w:val="16"/>
              </w:rPr>
              <w:t xml:space="preserve">porter la signature d’un haut responsable ou d’une personne habilitée de la régie financière ; et  </w:t>
            </w:r>
          </w:p>
          <w:p w:rsidR="00A23B34" w:rsidRPr="00A23B34" w:rsidRDefault="00A23B34" w:rsidP="00A23B34">
            <w:pPr>
              <w:pStyle w:val="Paragraphedeliste"/>
              <w:numPr>
                <w:ilvl w:val="0"/>
                <w:numId w:val="7"/>
              </w:numPr>
              <w:spacing w:line="256" w:lineRule="auto"/>
              <w:ind w:left="240" w:hanging="141"/>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16"/>
                <w:szCs w:val="16"/>
              </w:rPr>
            </w:pPr>
            <w:r w:rsidRPr="00A23B34">
              <w:rPr>
                <w:rFonts w:ascii="Calibri" w:hAnsi="Calibri" w:cs="Calibri"/>
                <w:i/>
                <w:sz w:val="16"/>
                <w:szCs w:val="16"/>
              </w:rPr>
              <w:t>être certifié par l’Inspection Générale des Finances (IGF). L’IGF devra produire une notre décrivant la méthodologie de travail pour la des déclarations ITIE des régies financières.</w:t>
            </w:r>
          </w:p>
          <w:p w:rsidR="007040BD"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A23B34">
              <w:rPr>
                <w:rFonts w:ascii="Calibri" w:hAnsi="Calibri" w:cs="Calibri"/>
                <w:sz w:val="16"/>
                <w:szCs w:val="16"/>
              </w:rPr>
              <w:t xml:space="preserve">Il ressort de la compréhension du mécanisme de fiabilité ci-haut repris </w:t>
            </w:r>
            <w:r w:rsidR="0004601B">
              <w:rPr>
                <w:rFonts w:ascii="Calibri" w:hAnsi="Calibri" w:cs="Calibri"/>
                <w:sz w:val="16"/>
                <w:szCs w:val="16"/>
              </w:rPr>
              <w:t>qu’il ne</w:t>
            </w:r>
            <w:r w:rsidRPr="00A23B34">
              <w:rPr>
                <w:rFonts w:ascii="Calibri" w:hAnsi="Calibri" w:cs="Calibri"/>
                <w:sz w:val="16"/>
                <w:szCs w:val="16"/>
              </w:rPr>
              <w:t xml:space="preserve"> </w:t>
            </w:r>
            <w:proofErr w:type="spellStart"/>
            <w:r w:rsidRPr="00A23B34">
              <w:rPr>
                <w:rFonts w:ascii="Calibri" w:hAnsi="Calibri" w:cs="Calibri"/>
                <w:sz w:val="16"/>
                <w:szCs w:val="16"/>
              </w:rPr>
              <w:t>ne</w:t>
            </w:r>
            <w:proofErr w:type="spellEnd"/>
            <w:r w:rsidRPr="00A23B34">
              <w:rPr>
                <w:rFonts w:ascii="Calibri" w:hAnsi="Calibri" w:cs="Calibri"/>
                <w:sz w:val="16"/>
                <w:szCs w:val="16"/>
              </w:rPr>
              <w:t xml:space="preserve"> repose pas </w:t>
            </w:r>
            <w:r w:rsidRPr="00A23B34">
              <w:rPr>
                <w:rFonts w:ascii="Calibri" w:hAnsi="Calibri" w:cs="Calibri"/>
                <w:b/>
                <w:sz w:val="16"/>
                <w:szCs w:val="16"/>
              </w:rPr>
              <w:t>uniquement</w:t>
            </w:r>
            <w:r w:rsidRPr="00A23B34">
              <w:rPr>
                <w:rFonts w:ascii="Calibri" w:hAnsi="Calibri" w:cs="Calibri"/>
                <w:sz w:val="16"/>
                <w:szCs w:val="16"/>
              </w:rPr>
              <w:t xml:space="preserve"> sur la production des états financiers par les entreprises mais aussi sur la certification de la déclaration ITIE des entreprises par un auditeur</w:t>
            </w:r>
            <w:r w:rsidR="007040BD">
              <w:rPr>
                <w:rFonts w:ascii="Calibri" w:hAnsi="Calibri" w:cs="Calibri"/>
                <w:sz w:val="16"/>
                <w:szCs w:val="16"/>
              </w:rPr>
              <w:t xml:space="preserve"> indépendant. Rappelons que l’Administrateur indépendant</w:t>
            </w:r>
            <w:r w:rsidRPr="00A23B34">
              <w:rPr>
                <w:rFonts w:ascii="Calibri" w:hAnsi="Calibri" w:cs="Calibri"/>
                <w:sz w:val="16"/>
                <w:szCs w:val="16"/>
              </w:rPr>
              <w:t xml:space="preserve"> s’est d’ailleurs montré plus favorable à la certification de la déclaration ITIE par un auditeur indépendant qu’à la simple production des états financiers par les entreprises (C</w:t>
            </w:r>
            <w:r w:rsidR="007040BD">
              <w:rPr>
                <w:rFonts w:ascii="Calibri" w:hAnsi="Calibri" w:cs="Calibri"/>
                <w:sz w:val="16"/>
                <w:szCs w:val="16"/>
              </w:rPr>
              <w:t>onstatation 6 de l’Administrateur indépendant</w:t>
            </w:r>
            <w:r w:rsidRPr="00A23B34">
              <w:rPr>
                <w:rFonts w:ascii="Calibri" w:hAnsi="Calibri" w:cs="Calibri"/>
                <w:sz w:val="16"/>
                <w:szCs w:val="16"/>
              </w:rPr>
              <w:t xml:space="preserve"> : Section 7  du rapport ITIE 2015 : page 100). </w:t>
            </w:r>
          </w:p>
          <w:p w:rsidR="00585B37" w:rsidRPr="00585B37" w:rsidRDefault="00585B37"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6"/>
                <w:szCs w:val="6"/>
              </w:rPr>
            </w:pPr>
          </w:p>
          <w:p w:rsidR="007040BD" w:rsidRPr="00A23B34" w:rsidRDefault="00DE10EC"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DE10EC">
              <w:rPr>
                <w:rFonts w:ascii="Calibri" w:hAnsi="Calibri" w:cs="Calibri"/>
                <w:b/>
                <w:sz w:val="16"/>
                <w:szCs w:val="16"/>
              </w:rPr>
              <w:t>Analyse du fondement de l’opinion de l’administrateur indépendant par le</w:t>
            </w:r>
            <w:r>
              <w:rPr>
                <w:rFonts w:ascii="Calibri" w:hAnsi="Calibri" w:cs="Calibri"/>
                <w:sz w:val="16"/>
                <w:szCs w:val="16"/>
              </w:rPr>
              <w:t xml:space="preserve"> </w:t>
            </w:r>
            <w:r w:rsidR="007040BD" w:rsidRPr="007040BD">
              <w:rPr>
                <w:rFonts w:ascii="Calibri" w:hAnsi="Calibri" w:cs="Calibri"/>
                <w:b/>
                <w:sz w:val="16"/>
                <w:szCs w:val="16"/>
              </w:rPr>
              <w:t>Secrétariat International</w:t>
            </w:r>
            <w:r w:rsidR="00585B37">
              <w:rPr>
                <w:rFonts w:ascii="Calibri" w:hAnsi="Calibri" w:cs="Calibri"/>
                <w:b/>
                <w:sz w:val="16"/>
                <w:szCs w:val="16"/>
              </w:rPr>
              <w:t xml:space="preserve"> </w:t>
            </w:r>
            <w:r w:rsidR="007040BD">
              <w:rPr>
                <w:rFonts w:ascii="Calibri" w:hAnsi="Calibri" w:cs="Calibri"/>
                <w:sz w:val="16"/>
                <w:szCs w:val="16"/>
              </w:rPr>
              <w:t>:</w:t>
            </w:r>
          </w:p>
          <w:p w:rsidR="00A23B34"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6"/>
                <w:szCs w:val="6"/>
              </w:rPr>
            </w:pPr>
          </w:p>
          <w:p w:rsidR="00A23B34" w:rsidRPr="00DE10EC" w:rsidRDefault="00DE10EC"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Pr>
                <w:rFonts w:ascii="Calibri" w:hAnsi="Calibri" w:cs="Calibri"/>
                <w:sz w:val="16"/>
                <w:szCs w:val="16"/>
              </w:rPr>
              <w:t xml:space="preserve">Dans son analyse, </w:t>
            </w:r>
            <w:r w:rsidRPr="00DE10EC">
              <w:rPr>
                <w:rFonts w:ascii="Calibri" w:hAnsi="Calibri" w:cs="Calibri"/>
                <w:sz w:val="16"/>
                <w:szCs w:val="16"/>
              </w:rPr>
              <w:t>le Secrétariat International</w:t>
            </w:r>
            <w:r>
              <w:rPr>
                <w:rFonts w:ascii="Calibri" w:hAnsi="Calibri" w:cs="Calibri"/>
                <w:sz w:val="16"/>
                <w:szCs w:val="16"/>
              </w:rPr>
              <w:t xml:space="preserve"> </w:t>
            </w:r>
            <w:r w:rsidR="00A23B34" w:rsidRPr="00A23B34">
              <w:rPr>
                <w:rFonts w:ascii="Calibri" w:hAnsi="Calibri" w:cs="Calibri"/>
                <w:sz w:val="16"/>
                <w:szCs w:val="16"/>
              </w:rPr>
              <w:t xml:space="preserve">cherche à savoir sur quoi l’Administrateur Indépendant s’est basé pour conclure </w:t>
            </w:r>
            <w:r w:rsidR="00DC075E">
              <w:rPr>
                <w:rFonts w:ascii="Calibri" w:hAnsi="Calibri" w:cs="Calibri"/>
                <w:sz w:val="16"/>
                <w:szCs w:val="16"/>
              </w:rPr>
              <w:t>sur la fiabilité de données au vu des écarts substantiels dans le respect par les entreprises et le Gouvernement des garanties d’assurance qualité conve</w:t>
            </w:r>
            <w:r w:rsidR="0004601B">
              <w:rPr>
                <w:rFonts w:ascii="Calibri" w:hAnsi="Calibri" w:cs="Calibri"/>
                <w:sz w:val="16"/>
                <w:szCs w:val="16"/>
              </w:rPr>
              <w:t>nues pour les déclarations ITIE</w:t>
            </w:r>
            <w:r w:rsidR="00547788" w:rsidRPr="00DC075E">
              <w:rPr>
                <w:rFonts w:ascii="Calibri" w:hAnsi="Calibri" w:cs="Calibri"/>
                <w:color w:val="0000FF"/>
                <w:sz w:val="16"/>
                <w:szCs w:val="16"/>
              </w:rPr>
              <w:t>.</w:t>
            </w:r>
            <w:r w:rsidR="00547788">
              <w:rPr>
                <w:rFonts w:ascii="Calibri" w:hAnsi="Calibri" w:cs="Calibri"/>
                <w:sz w:val="16"/>
                <w:szCs w:val="16"/>
              </w:rPr>
              <w:t xml:space="preserve"> R</w:t>
            </w:r>
            <w:r w:rsidR="00A23B34" w:rsidRPr="00A23B34">
              <w:rPr>
                <w:rFonts w:ascii="Calibri" w:hAnsi="Calibri" w:cs="Calibri"/>
                <w:sz w:val="16"/>
                <w:szCs w:val="16"/>
              </w:rPr>
              <w:t>appelons qu</w:t>
            </w:r>
            <w:r w:rsidR="007040BD">
              <w:rPr>
                <w:rFonts w:ascii="Calibri" w:hAnsi="Calibri" w:cs="Calibri"/>
                <w:sz w:val="16"/>
                <w:szCs w:val="16"/>
              </w:rPr>
              <w:t>e suivant l’état dressé par l’Administrateur indépendant</w:t>
            </w:r>
            <w:r w:rsidR="00A23B34" w:rsidRPr="00A23B34">
              <w:rPr>
                <w:rFonts w:ascii="Calibri" w:hAnsi="Calibri" w:cs="Calibri"/>
                <w:sz w:val="16"/>
                <w:szCs w:val="16"/>
              </w:rPr>
              <w:t xml:space="preserve"> à la page 22 du rapport  ITIE 2015, 11 entreprises sur les 128 </w:t>
            </w:r>
            <w:r w:rsidR="00A23B34" w:rsidRPr="00A23B34">
              <w:rPr>
                <w:rFonts w:ascii="Calibri" w:hAnsi="Calibri" w:cs="Calibri"/>
                <w:sz w:val="16"/>
                <w:szCs w:val="16"/>
              </w:rPr>
              <w:lastRenderedPageBreak/>
              <w:t xml:space="preserve">retenues dans périmètre de conciliation ne se sont pas totalement conformées au mécanisme de fiabilisation. Le  total des recettes perçues de ces sociétés représente 6,3%  du total des revenus extractifs conciliés : Aucun seuil n’ayant été préalablement fixé pour déterminer le niveau global de fiabilité du rapport, </w:t>
            </w:r>
            <w:r w:rsidR="007040BD" w:rsidRPr="007040BD">
              <w:rPr>
                <w:rFonts w:ascii="Calibri" w:hAnsi="Calibri" w:cs="Calibri"/>
                <w:b/>
                <w:sz w:val="16"/>
                <w:szCs w:val="16"/>
              </w:rPr>
              <w:t>l’Administrateur indépendant</w:t>
            </w:r>
            <w:r w:rsidR="00A23B34" w:rsidRPr="00A23B34">
              <w:rPr>
                <w:rFonts w:ascii="Calibri" w:hAnsi="Calibri" w:cs="Calibri"/>
                <w:b/>
                <w:sz w:val="16"/>
                <w:szCs w:val="16"/>
              </w:rPr>
              <w:t xml:space="preserve"> a estimé que ce pourcentage n’affecte pas la fiabilité globale du rapport ITIE 2015. </w:t>
            </w:r>
          </w:p>
          <w:p w:rsidR="00E64CDE" w:rsidRPr="00E64CDE" w:rsidRDefault="00E64CDE"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4"/>
                <w:szCs w:val="4"/>
              </w:rPr>
            </w:pPr>
          </w:p>
          <w:p w:rsidR="00A23B34"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585B37">
              <w:rPr>
                <w:rFonts w:ascii="Calibri" w:hAnsi="Calibri" w:cs="Calibri"/>
                <w:b/>
                <w:sz w:val="16"/>
                <w:szCs w:val="16"/>
              </w:rPr>
              <w:t>Au su</w:t>
            </w:r>
            <w:r w:rsidR="007040BD" w:rsidRPr="00585B37">
              <w:rPr>
                <w:rFonts w:ascii="Calibri" w:hAnsi="Calibri" w:cs="Calibri"/>
                <w:b/>
                <w:sz w:val="16"/>
                <w:szCs w:val="16"/>
              </w:rPr>
              <w:t>jet des écarts soulevés par l’Administrateur indépendan</w:t>
            </w:r>
            <w:r w:rsidR="007040BD" w:rsidRPr="00DC075E">
              <w:rPr>
                <w:rFonts w:ascii="Calibri" w:hAnsi="Calibri" w:cs="Calibri"/>
                <w:b/>
                <w:sz w:val="16"/>
                <w:szCs w:val="16"/>
              </w:rPr>
              <w:t>t</w:t>
            </w:r>
            <w:r w:rsidRPr="00DC075E">
              <w:rPr>
                <w:rFonts w:ascii="Calibri" w:hAnsi="Calibri" w:cs="Calibri"/>
                <w:b/>
                <w:sz w:val="16"/>
                <w:szCs w:val="16"/>
              </w:rPr>
              <w:t xml:space="preserve"> en rapport avec les documents de fiabilisation des AFE</w:t>
            </w:r>
            <w:r w:rsidRPr="00A23B34">
              <w:rPr>
                <w:rFonts w:ascii="Calibri" w:hAnsi="Calibri" w:cs="Calibri"/>
                <w:sz w:val="16"/>
                <w:szCs w:val="16"/>
              </w:rPr>
              <w:t>, il faut pr</w:t>
            </w:r>
            <w:r w:rsidR="007040BD">
              <w:rPr>
                <w:rFonts w:ascii="Calibri" w:hAnsi="Calibri" w:cs="Calibri"/>
                <w:sz w:val="16"/>
                <w:szCs w:val="16"/>
              </w:rPr>
              <w:t>éciser que comme expliqué par l’Administrateur indépendant</w:t>
            </w:r>
            <w:r w:rsidRPr="00A23B34">
              <w:rPr>
                <w:rFonts w:ascii="Calibri" w:hAnsi="Calibri" w:cs="Calibri"/>
                <w:sz w:val="16"/>
                <w:szCs w:val="16"/>
              </w:rPr>
              <w:t xml:space="preserve"> lui-même (Annexe 16 du rapport ITIE 2015 : page 177) , les différences constatées sur ces documents sont essentiellement tributaires d’une part à des questions d’ordre technique liées notamment à la mauvaise utilisation du TSL (Cas de la DGI) et d’autres part par le fait que l’IGF certifiait les déclarations de certaines AFE bien avant le processus de conciliation (Cas de DGDA e</w:t>
            </w:r>
            <w:r w:rsidR="007040BD">
              <w:rPr>
                <w:rFonts w:ascii="Calibri" w:hAnsi="Calibri" w:cs="Calibri"/>
                <w:sz w:val="16"/>
                <w:szCs w:val="16"/>
              </w:rPr>
              <w:t>t la DRKAT). C’est pourquoi l’Administrateur indépendant</w:t>
            </w:r>
            <w:r w:rsidRPr="00A23B34">
              <w:rPr>
                <w:rFonts w:ascii="Calibri" w:hAnsi="Calibri" w:cs="Calibri"/>
                <w:sz w:val="16"/>
                <w:szCs w:val="16"/>
              </w:rPr>
              <w:t>,  dans le but d’éviter ces écarts dans l’avenir, a  émis une recommandation au niveau de la Section 7.1 du rapport ITIE 2015 proposant que les synthèses soient signé</w:t>
            </w:r>
            <w:r w:rsidR="007040BD">
              <w:rPr>
                <w:rFonts w:ascii="Calibri" w:hAnsi="Calibri" w:cs="Calibri"/>
                <w:sz w:val="16"/>
                <w:szCs w:val="16"/>
              </w:rPr>
              <w:t>e</w:t>
            </w:r>
            <w:r w:rsidRPr="00A23B34">
              <w:rPr>
                <w:rFonts w:ascii="Calibri" w:hAnsi="Calibri" w:cs="Calibri"/>
                <w:sz w:val="16"/>
                <w:szCs w:val="16"/>
              </w:rPr>
              <w:t>s et certifié</w:t>
            </w:r>
            <w:r w:rsidR="007040BD">
              <w:rPr>
                <w:rFonts w:ascii="Calibri" w:hAnsi="Calibri" w:cs="Calibri"/>
                <w:sz w:val="16"/>
                <w:szCs w:val="16"/>
              </w:rPr>
              <w:t>e</w:t>
            </w:r>
            <w:r w:rsidRPr="00A23B34">
              <w:rPr>
                <w:rFonts w:ascii="Calibri" w:hAnsi="Calibri" w:cs="Calibri"/>
                <w:sz w:val="16"/>
                <w:szCs w:val="16"/>
              </w:rPr>
              <w:t>s après la finalisation des travaux de conciliation.</w:t>
            </w:r>
          </w:p>
          <w:p w:rsidR="00A23B34"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A23B34">
              <w:rPr>
                <w:rFonts w:ascii="Calibri" w:hAnsi="Calibri" w:cs="Calibri"/>
                <w:sz w:val="16"/>
                <w:szCs w:val="16"/>
              </w:rPr>
              <w:t xml:space="preserve">Aussi, au-delà du mécanisme de fiabilisation adopté par le GMP, l'on ne peut  négliger un autre degré de fiabilité apporté </w:t>
            </w:r>
            <w:r w:rsidR="00E63A4C">
              <w:rPr>
                <w:rFonts w:ascii="Calibri" w:hAnsi="Calibri" w:cs="Calibri"/>
                <w:sz w:val="16"/>
                <w:szCs w:val="16"/>
              </w:rPr>
              <w:t>par les travaux de conciliation au travers la</w:t>
            </w:r>
            <w:r w:rsidRPr="00A23B34">
              <w:rPr>
                <w:rFonts w:ascii="Calibri" w:hAnsi="Calibri" w:cs="Calibri"/>
                <w:sz w:val="16"/>
                <w:szCs w:val="16"/>
              </w:rPr>
              <w:t xml:space="preserve"> </w:t>
            </w:r>
            <w:r w:rsidR="00E63A4C">
              <w:rPr>
                <w:rFonts w:ascii="Calibri" w:hAnsi="Calibri" w:cs="Calibri"/>
                <w:sz w:val="16"/>
                <w:szCs w:val="16"/>
              </w:rPr>
              <w:t>comparaison</w:t>
            </w:r>
            <w:r w:rsidRPr="00A23B34">
              <w:rPr>
                <w:rFonts w:ascii="Calibri" w:hAnsi="Calibri" w:cs="Calibri"/>
                <w:sz w:val="16"/>
                <w:szCs w:val="16"/>
              </w:rPr>
              <w:t xml:space="preserve"> des  déclarations des parties.</w:t>
            </w:r>
            <w:r w:rsidR="00C20A20">
              <w:rPr>
                <w:rFonts w:ascii="Calibri" w:hAnsi="Calibri" w:cs="Calibri"/>
                <w:sz w:val="16"/>
                <w:szCs w:val="16"/>
              </w:rPr>
              <w:t xml:space="preserve"> Ces travaux ont couvert 100% des déclarations pour le secteur pétrolier et 99.53% des déclarations pour le secteur minier.</w:t>
            </w:r>
          </w:p>
          <w:p w:rsidR="00A23B34"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A23B34">
              <w:rPr>
                <w:rFonts w:ascii="Calibri" w:hAnsi="Calibri" w:cs="Calibri"/>
                <w:sz w:val="16"/>
                <w:szCs w:val="16"/>
              </w:rPr>
              <w:t>Au regard de</w:t>
            </w:r>
            <w:r w:rsidR="007040BD">
              <w:rPr>
                <w:rFonts w:ascii="Calibri" w:hAnsi="Calibri" w:cs="Calibri"/>
                <w:sz w:val="16"/>
                <w:szCs w:val="16"/>
              </w:rPr>
              <w:t xml:space="preserve"> toutes ces considérations, l’Administrateur indépendant</w:t>
            </w:r>
            <w:r w:rsidRPr="00A23B34">
              <w:rPr>
                <w:rFonts w:ascii="Calibri" w:hAnsi="Calibri" w:cs="Calibri"/>
                <w:sz w:val="16"/>
                <w:szCs w:val="16"/>
              </w:rPr>
              <w:t xml:space="preserve"> a</w:t>
            </w:r>
            <w:r w:rsidR="007040BD">
              <w:rPr>
                <w:rFonts w:ascii="Calibri" w:hAnsi="Calibri" w:cs="Calibri"/>
                <w:sz w:val="16"/>
                <w:szCs w:val="16"/>
              </w:rPr>
              <w:t>,</w:t>
            </w:r>
            <w:r w:rsidRPr="00A23B34">
              <w:rPr>
                <w:rFonts w:ascii="Calibri" w:hAnsi="Calibri" w:cs="Calibri"/>
                <w:sz w:val="16"/>
                <w:szCs w:val="16"/>
              </w:rPr>
              <w:t xml:space="preserve"> en toute responsabilité</w:t>
            </w:r>
            <w:r w:rsidR="007040BD">
              <w:rPr>
                <w:rFonts w:ascii="Calibri" w:hAnsi="Calibri" w:cs="Calibri"/>
                <w:sz w:val="16"/>
                <w:szCs w:val="16"/>
              </w:rPr>
              <w:t>,</w:t>
            </w:r>
            <w:r w:rsidRPr="00A23B34">
              <w:rPr>
                <w:rFonts w:ascii="Calibri" w:hAnsi="Calibri" w:cs="Calibri"/>
                <w:sz w:val="16"/>
                <w:szCs w:val="16"/>
              </w:rPr>
              <w:t xml:space="preserve"> estimé que les données contenues dans les rapports ITIE 2015 so</w:t>
            </w:r>
            <w:r w:rsidR="007040BD">
              <w:rPr>
                <w:rFonts w:ascii="Calibri" w:hAnsi="Calibri" w:cs="Calibri"/>
                <w:sz w:val="16"/>
                <w:szCs w:val="16"/>
              </w:rPr>
              <w:t xml:space="preserve">nt fiables.  </w:t>
            </w:r>
          </w:p>
          <w:p w:rsidR="00E63A4C" w:rsidRPr="00E63A4C" w:rsidRDefault="00E63A4C"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sz w:val="6"/>
                <w:szCs w:val="6"/>
              </w:rPr>
            </w:pPr>
          </w:p>
          <w:p w:rsidR="00A23B34"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585B37">
              <w:rPr>
                <w:rFonts w:ascii="Calibri" w:hAnsi="Calibri" w:cs="Calibri"/>
                <w:b/>
                <w:sz w:val="16"/>
                <w:szCs w:val="16"/>
              </w:rPr>
              <w:t>Po</w:t>
            </w:r>
            <w:r w:rsidR="007040BD" w:rsidRPr="00585B37">
              <w:rPr>
                <w:rFonts w:ascii="Calibri" w:hAnsi="Calibri" w:cs="Calibri"/>
                <w:b/>
                <w:sz w:val="16"/>
                <w:szCs w:val="16"/>
              </w:rPr>
              <w:t>ur ce qui est de l’analyse du Secrétariat international</w:t>
            </w:r>
            <w:r w:rsidRPr="00585B37">
              <w:rPr>
                <w:rFonts w:ascii="Calibri" w:hAnsi="Calibri" w:cs="Calibri"/>
                <w:b/>
                <w:sz w:val="16"/>
                <w:szCs w:val="16"/>
              </w:rPr>
              <w:t xml:space="preserve"> partant du rapport complémentaire 2016</w:t>
            </w:r>
            <w:r w:rsidRPr="00A23B34">
              <w:rPr>
                <w:rFonts w:ascii="Calibri" w:hAnsi="Calibri" w:cs="Calibri"/>
                <w:sz w:val="16"/>
                <w:szCs w:val="16"/>
              </w:rPr>
              <w:t xml:space="preserve"> qui indique que cinq entreprises d’État ne disposaient pas d’états financiers audités indépendamment, une avait des états financiers adoptés par son assemblée générale, une autre avait des états financiers audités par un auditeur externe, et deux avaient des états financiers audités indépendamment, il faut relever que les représentants des </w:t>
            </w:r>
            <w:r w:rsidR="00E63A4C" w:rsidRPr="00A23B34">
              <w:rPr>
                <w:rFonts w:ascii="Calibri" w:hAnsi="Calibri" w:cs="Calibri"/>
                <w:sz w:val="16"/>
                <w:szCs w:val="16"/>
              </w:rPr>
              <w:t>E</w:t>
            </w:r>
            <w:r w:rsidR="00E63A4C">
              <w:rPr>
                <w:rFonts w:ascii="Calibri" w:hAnsi="Calibri" w:cs="Calibri"/>
                <w:sz w:val="16"/>
                <w:szCs w:val="16"/>
              </w:rPr>
              <w:t>ntreprises d’Etat</w:t>
            </w:r>
            <w:r w:rsidR="00E63A4C" w:rsidRPr="00A23B34">
              <w:rPr>
                <w:rFonts w:ascii="Calibri" w:hAnsi="Calibri" w:cs="Calibri"/>
                <w:sz w:val="16"/>
                <w:szCs w:val="16"/>
              </w:rPr>
              <w:t xml:space="preserve"> </w:t>
            </w:r>
            <w:r w:rsidRPr="00A23B34">
              <w:rPr>
                <w:rFonts w:ascii="Calibri" w:hAnsi="Calibri" w:cs="Calibri"/>
                <w:sz w:val="16"/>
                <w:szCs w:val="16"/>
              </w:rPr>
              <w:t xml:space="preserve">ont soutenu  que les états financiers des </w:t>
            </w:r>
            <w:r w:rsidR="00E63A4C" w:rsidRPr="00A23B34">
              <w:rPr>
                <w:rFonts w:ascii="Calibri" w:hAnsi="Calibri" w:cs="Calibri"/>
                <w:sz w:val="16"/>
                <w:szCs w:val="16"/>
              </w:rPr>
              <w:t>E</w:t>
            </w:r>
            <w:r w:rsidR="00E63A4C">
              <w:rPr>
                <w:rFonts w:ascii="Calibri" w:hAnsi="Calibri" w:cs="Calibri"/>
                <w:sz w:val="16"/>
                <w:szCs w:val="16"/>
              </w:rPr>
              <w:t>ntreprises d’Etat</w:t>
            </w:r>
            <w:r w:rsidR="00E63A4C" w:rsidRPr="00A23B34">
              <w:rPr>
                <w:rFonts w:ascii="Calibri" w:hAnsi="Calibri" w:cs="Calibri"/>
                <w:sz w:val="16"/>
                <w:szCs w:val="16"/>
              </w:rPr>
              <w:t xml:space="preserve"> </w:t>
            </w:r>
            <w:r w:rsidRPr="00A23B34">
              <w:rPr>
                <w:rFonts w:ascii="Calibri" w:hAnsi="Calibri" w:cs="Calibri"/>
                <w:sz w:val="16"/>
                <w:szCs w:val="16"/>
              </w:rPr>
              <w:t xml:space="preserve">avaient toujours été audités et que l’ITIE RDC n’avait pas eu accès à la version appropriée des états financiers des </w:t>
            </w:r>
            <w:r w:rsidR="00E63A4C" w:rsidRPr="00A23B34">
              <w:rPr>
                <w:rFonts w:ascii="Calibri" w:hAnsi="Calibri" w:cs="Calibri"/>
                <w:sz w:val="16"/>
                <w:szCs w:val="16"/>
              </w:rPr>
              <w:t>E</w:t>
            </w:r>
            <w:r w:rsidR="00E63A4C">
              <w:rPr>
                <w:rFonts w:ascii="Calibri" w:hAnsi="Calibri" w:cs="Calibri"/>
                <w:sz w:val="16"/>
                <w:szCs w:val="16"/>
              </w:rPr>
              <w:t>ntreprises d’Etat</w:t>
            </w:r>
            <w:r w:rsidRPr="00A23B34">
              <w:rPr>
                <w:rFonts w:ascii="Calibri" w:hAnsi="Calibri" w:cs="Calibri"/>
                <w:sz w:val="16"/>
                <w:szCs w:val="16"/>
              </w:rPr>
              <w:t xml:space="preserve">. Soulignons également qu’à l’exception de la SONAHYDROC, toutes les </w:t>
            </w:r>
            <w:r w:rsidR="00E63A4C" w:rsidRPr="00A23B34">
              <w:rPr>
                <w:rFonts w:ascii="Calibri" w:hAnsi="Calibri" w:cs="Calibri"/>
                <w:sz w:val="16"/>
                <w:szCs w:val="16"/>
              </w:rPr>
              <w:t>E</w:t>
            </w:r>
            <w:r w:rsidR="00E63A4C">
              <w:rPr>
                <w:rFonts w:ascii="Calibri" w:hAnsi="Calibri" w:cs="Calibri"/>
                <w:sz w:val="16"/>
                <w:szCs w:val="16"/>
              </w:rPr>
              <w:t>ntreprises d’Etat</w:t>
            </w:r>
            <w:r w:rsidR="00E63A4C" w:rsidRPr="00A23B34">
              <w:rPr>
                <w:rFonts w:ascii="Calibri" w:hAnsi="Calibri" w:cs="Calibri"/>
                <w:sz w:val="16"/>
                <w:szCs w:val="16"/>
              </w:rPr>
              <w:t xml:space="preserve"> </w:t>
            </w:r>
            <w:r w:rsidRPr="00A23B34">
              <w:rPr>
                <w:rFonts w:ascii="Calibri" w:hAnsi="Calibri" w:cs="Calibri"/>
                <w:sz w:val="16"/>
                <w:szCs w:val="16"/>
              </w:rPr>
              <w:t>avaient respecté le mécanisme de fiabilité  pour le rapport ITIE 2015.</w:t>
            </w:r>
            <w:r w:rsidR="00E63A4C">
              <w:rPr>
                <w:rFonts w:ascii="Calibri" w:hAnsi="Calibri" w:cs="Calibri"/>
                <w:sz w:val="16"/>
                <w:szCs w:val="16"/>
              </w:rPr>
              <w:t xml:space="preserve">  </w:t>
            </w:r>
          </w:p>
          <w:p w:rsidR="00A23B34"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A23B34">
              <w:rPr>
                <w:rFonts w:ascii="Calibri" w:hAnsi="Calibri" w:cs="Calibri"/>
                <w:sz w:val="16"/>
                <w:szCs w:val="16"/>
              </w:rPr>
              <w:t>Toutefois, considérant la préconisation des OSC visant le renforcement du mécanisme de fiabilisation des déclarations des E</w:t>
            </w:r>
            <w:r w:rsidR="00E63A4C">
              <w:rPr>
                <w:rFonts w:ascii="Calibri" w:hAnsi="Calibri" w:cs="Calibri"/>
                <w:sz w:val="16"/>
                <w:szCs w:val="16"/>
              </w:rPr>
              <w:t>ntreprises d’Etat</w:t>
            </w:r>
            <w:r w:rsidRPr="00A23B34">
              <w:rPr>
                <w:rFonts w:ascii="Calibri" w:hAnsi="Calibri" w:cs="Calibri"/>
                <w:sz w:val="16"/>
                <w:szCs w:val="16"/>
              </w:rPr>
              <w:t>, les PP ont demandé aux OSC de proposer un projet de mécanisme de fiabilisation qui sera discuté dans le cadre de l’élaboration du rapport ITIE 2017.</w:t>
            </w:r>
          </w:p>
          <w:p w:rsidR="00A23B34"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A23B34">
              <w:rPr>
                <w:rFonts w:ascii="Calibri" w:hAnsi="Calibri" w:cs="Calibri"/>
                <w:sz w:val="16"/>
                <w:szCs w:val="16"/>
              </w:rPr>
              <w:lastRenderedPageBreak/>
              <w:t xml:space="preserve">Signalons aussi que tenant compte de la demande maintes fois exprimée par les parties prenantes qui souhaitent que la certification des déclarations des entités de l’Etat soit confiée à la Cour des Comptes,  l’ITIE-RDC a entrepris en mars-avril 2019 des séances de travail avec les magistrats de la Cour des Comptes afin d’étudier la possibilité  de la certification par la Cour des Comptes des déclarations des structures de l’Etat à l’ITIE. </w:t>
            </w:r>
          </w:p>
          <w:p w:rsidR="008672C8" w:rsidRPr="00A23B34" w:rsidRDefault="00A23B34" w:rsidP="00A23B34">
            <w:pPr>
              <w:jc w:val="both"/>
              <w:cnfStyle w:val="000000000000" w:firstRow="0" w:lastRow="0" w:firstColumn="0" w:lastColumn="0" w:oddVBand="0" w:evenVBand="0" w:oddHBand="0" w:evenHBand="0" w:firstRowFirstColumn="0" w:firstRowLastColumn="0" w:lastRowFirstColumn="0" w:lastRowLastColumn="0"/>
              <w:rPr>
                <w:sz w:val="24"/>
                <w:szCs w:val="24"/>
              </w:rPr>
            </w:pPr>
            <w:r w:rsidRPr="00A23B34">
              <w:rPr>
                <w:rFonts w:ascii="Calibri" w:hAnsi="Calibri" w:cs="Calibri"/>
                <w:sz w:val="16"/>
                <w:szCs w:val="16"/>
              </w:rPr>
              <w:t>Ainsi, en considération de tout ce qui précède, le Comité Exécutif est convaincu que tous les aspects de l'exigence ont été rencontrés. Par conséquent, il estime que  des progrès satisfaisants ont été  accomplis pour cette exigence.</w:t>
            </w:r>
          </w:p>
        </w:tc>
        <w:tc>
          <w:tcPr>
            <w:tcW w:w="977"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B0F0"/>
                <w:sz w:val="16"/>
                <w:szCs w:val="16"/>
                <w:lang w:eastAsia="fr-FR"/>
              </w:rPr>
            </w:pPr>
            <w:r w:rsidRPr="000475C4">
              <w:rPr>
                <w:rFonts w:ascii="Calibri" w:eastAsia="Times New Roman" w:hAnsi="Calibri" w:cs="Calibri"/>
                <w:b/>
                <w:bCs/>
                <w:color w:val="0000FF"/>
                <w:sz w:val="16"/>
                <w:szCs w:val="16"/>
                <w:lang w:eastAsia="fr-FR"/>
              </w:rPr>
              <w:lastRenderedPageBreak/>
              <w:t>Progrès Satisfaisant</w:t>
            </w:r>
          </w:p>
        </w:tc>
      </w:tr>
      <w:tr w:rsidR="009B0474" w:rsidRPr="009B0474" w:rsidTr="00966F60">
        <w:trPr>
          <w:trHeight w:val="1601"/>
        </w:trPr>
        <w:tc>
          <w:tcPr>
            <w:cnfStyle w:val="001000000000" w:firstRow="0" w:lastRow="0" w:firstColumn="1" w:lastColumn="0" w:oddVBand="0" w:evenVBand="0" w:oddHBand="0" w:evenHBand="0" w:firstRowFirstColumn="0" w:firstRowLastColumn="0" w:lastRowFirstColumn="0" w:lastRowLastColumn="0"/>
            <w:tcW w:w="1165" w:type="dxa"/>
            <w:hideMark/>
          </w:tcPr>
          <w:p w:rsidR="008672C8" w:rsidRPr="00760930" w:rsidRDefault="008672C8" w:rsidP="008672C8">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lastRenderedPageBreak/>
              <w:t>Répartition des revenus (5.1)</w:t>
            </w:r>
          </w:p>
        </w:tc>
        <w:tc>
          <w:tcPr>
            <w:tcW w:w="2716"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00"/>
                <w:sz w:val="16"/>
                <w:szCs w:val="16"/>
                <w:lang w:eastAsia="fr-FR"/>
              </w:rPr>
              <w:t>De l'affectation des revenus revenant aux entités de l'Etat et aux EP</w:t>
            </w:r>
            <w:r w:rsidRPr="00760930">
              <w:rPr>
                <w:rFonts w:ascii="Calibri" w:eastAsia="Times New Roman" w:hAnsi="Calibri" w:cs="Calibri"/>
                <w:color w:val="000000"/>
                <w:sz w:val="16"/>
                <w:szCs w:val="16"/>
                <w:lang w:eastAsia="fr-FR"/>
              </w:rPr>
              <w:br/>
              <w:t xml:space="preserve">Le Rapport ITIE 2015 indique les revenus extractifs spécifiques qui ont été consignés au budget national et ceux qui ont été conservés par les entités de l’État et les entreprises d’État. Bien que le rapport explique que des revenus extractifs significatifs n’ont pas été transférés au Trésor public ni consignés au budget public, il ne précise pas l’affectation des revenus conservés par les entités de l’État et les entreprises d’État, malgré </w:t>
            </w:r>
            <w:r w:rsidRPr="00760930">
              <w:rPr>
                <w:rFonts w:ascii="Calibri" w:eastAsia="Times New Roman" w:hAnsi="Calibri" w:cs="Calibri"/>
                <w:color w:val="000000"/>
                <w:sz w:val="16"/>
                <w:szCs w:val="16"/>
                <w:lang w:eastAsia="fr-FR"/>
              </w:rPr>
              <w:lastRenderedPageBreak/>
              <w:t xml:space="preserve">l’important volume d’informations complémentaires figurant dans le Rapport complémentaire ITIE 2016 sur les bénéfices non répartis des entreprises d’État. </w:t>
            </w:r>
          </w:p>
        </w:tc>
        <w:tc>
          <w:tcPr>
            <w:tcW w:w="1004"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 xml:space="preserve">Le validateur a approuvé les conclusions du SI ainsi que le niveau de </w:t>
            </w:r>
            <w:r w:rsidRPr="007F7F67">
              <w:rPr>
                <w:rFonts w:ascii="Calibri" w:eastAsia="Times New Roman" w:hAnsi="Calibri" w:cs="Calibri"/>
                <w:b/>
                <w:color w:val="FF0000"/>
                <w:sz w:val="16"/>
                <w:szCs w:val="16"/>
                <w:lang w:eastAsia="fr-FR"/>
              </w:rPr>
              <w:t>progrès significatif</w:t>
            </w:r>
            <w:r w:rsidRPr="007F7F67">
              <w:rPr>
                <w:rFonts w:ascii="Calibri" w:eastAsia="Times New Roman" w:hAnsi="Calibri" w:cs="Calibri"/>
                <w:color w:val="FF0000"/>
                <w:sz w:val="16"/>
                <w:szCs w:val="16"/>
                <w:lang w:eastAsia="fr-FR"/>
              </w:rPr>
              <w:t xml:space="preserve"> </w:t>
            </w:r>
          </w:p>
        </w:tc>
        <w:tc>
          <w:tcPr>
            <w:tcW w:w="2072" w:type="dxa"/>
            <w:hideMark/>
          </w:tcPr>
          <w:p w:rsidR="00F207D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 Conf</w:t>
            </w:r>
            <w:r w:rsidR="00F207D0">
              <w:rPr>
                <w:rFonts w:ascii="Calibri" w:eastAsia="Times New Roman" w:hAnsi="Calibri" w:cs="Calibri"/>
                <w:color w:val="000000"/>
                <w:sz w:val="16"/>
                <w:szCs w:val="16"/>
                <w:lang w:eastAsia="fr-FR"/>
              </w:rPr>
              <w:t>ormément à l’Exigence 5.1 :</w:t>
            </w:r>
          </w:p>
          <w:p w:rsidR="00F207D0" w:rsidRDefault="008672C8" w:rsidP="00F207D0">
            <w:pPr>
              <w:pStyle w:val="Paragraphedeliste"/>
              <w:numPr>
                <w:ilvl w:val="0"/>
                <w:numId w:val="13"/>
              </w:numPr>
              <w:tabs>
                <w:tab w:val="left" w:pos="14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la RDC est tenue d’expliquer l’affectation des revenus extractifs qui ne sont pas consignés au budget national, y compris les revenus conservés par les agences perceptrices et les entreprises d’État.</w:t>
            </w:r>
          </w:p>
          <w:p w:rsidR="00F207D0" w:rsidRDefault="008672C8" w:rsidP="00F207D0">
            <w:pPr>
              <w:pStyle w:val="Paragraphedeliste"/>
              <w:numPr>
                <w:ilvl w:val="0"/>
                <w:numId w:val="13"/>
              </w:numPr>
              <w:tabs>
                <w:tab w:val="left" w:pos="14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 La RDC est encouragée à collaborer avec le ministère des Finances, le ministère du Budget et les entreprises </w:t>
            </w:r>
            <w:r w:rsidRPr="00F207D0">
              <w:rPr>
                <w:rFonts w:ascii="Calibri" w:eastAsia="Times New Roman" w:hAnsi="Calibri" w:cs="Calibri"/>
                <w:color w:val="000000"/>
                <w:sz w:val="16"/>
                <w:szCs w:val="16"/>
                <w:lang w:eastAsia="fr-FR"/>
              </w:rPr>
              <w:lastRenderedPageBreak/>
              <w:t xml:space="preserve">d’État en vue de divulguer l’affectation de ces revenus et de fournir des références aux rapports financiers, lorsque ces informations sont pertinentes. </w:t>
            </w:r>
          </w:p>
          <w:p w:rsidR="008672C8" w:rsidRPr="00F207D0" w:rsidRDefault="008672C8" w:rsidP="00F207D0">
            <w:pPr>
              <w:pStyle w:val="Paragraphedeliste"/>
              <w:numPr>
                <w:ilvl w:val="0"/>
                <w:numId w:val="13"/>
              </w:numPr>
              <w:tabs>
                <w:tab w:val="left" w:pos="14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L’ITIE RDC est également encouragée à fournir davantage d’informations sur les « comptes spéciaux » auxquels le CAMI contribue.  </w:t>
            </w:r>
          </w:p>
        </w:tc>
        <w:tc>
          <w:tcPr>
            <w:tcW w:w="1617"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D'accord avec  le niveau de progrès significatif, mais avec les précisions ci-contre du C</w:t>
            </w:r>
            <w:r w:rsidR="000475C4">
              <w:rPr>
                <w:rFonts w:ascii="Calibri" w:eastAsia="Times New Roman" w:hAnsi="Calibri" w:cs="Calibri"/>
                <w:color w:val="000000"/>
                <w:sz w:val="16"/>
                <w:szCs w:val="16"/>
                <w:lang w:eastAsia="fr-FR"/>
              </w:rPr>
              <w:t>.</w:t>
            </w:r>
            <w:r w:rsidRPr="00760930">
              <w:rPr>
                <w:rFonts w:ascii="Calibri" w:eastAsia="Times New Roman" w:hAnsi="Calibri" w:cs="Calibri"/>
                <w:color w:val="000000"/>
                <w:sz w:val="16"/>
                <w:szCs w:val="16"/>
                <w:lang w:eastAsia="fr-FR"/>
              </w:rPr>
              <w:t>E</w:t>
            </w:r>
          </w:p>
        </w:tc>
        <w:tc>
          <w:tcPr>
            <w:tcW w:w="5118" w:type="dxa"/>
            <w:hideMark/>
          </w:tcPr>
          <w:p w:rsidR="008672C8" w:rsidRPr="00760930" w:rsidRDefault="008672C8" w:rsidP="00E63A4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sz w:val="16"/>
                <w:szCs w:val="16"/>
                <w:lang w:eastAsia="fr-FR"/>
              </w:rPr>
              <w:t>Les Rapports ITIE-RDC donnent la répartition des recettes entre le Trésor public et les différentes entités perceptrices pour leur compte. Et pour plus de</w:t>
            </w:r>
            <w:r w:rsidR="009B0474">
              <w:rPr>
                <w:rFonts w:ascii="Calibri" w:eastAsia="Times New Roman" w:hAnsi="Calibri" w:cs="Calibri"/>
                <w:sz w:val="16"/>
                <w:szCs w:val="16"/>
                <w:lang w:eastAsia="fr-FR"/>
              </w:rPr>
              <w:t xml:space="preserve"> précisions, consulter le lien </w:t>
            </w:r>
            <w:r w:rsidRPr="00760930">
              <w:rPr>
                <w:rFonts w:ascii="Calibri" w:eastAsia="Times New Roman" w:hAnsi="Calibri" w:cs="Calibri"/>
                <w:sz w:val="16"/>
                <w:szCs w:val="16"/>
                <w:lang w:eastAsia="fr-FR"/>
              </w:rPr>
              <w:t xml:space="preserve"> </w:t>
            </w:r>
            <w:hyperlink r:id="rId15" w:history="1">
              <w:r w:rsidR="00E63A4C" w:rsidRPr="00BC4637">
                <w:rPr>
                  <w:rStyle w:val="Lienhypertexte"/>
                  <w:rFonts w:ascii="Calibri" w:eastAsia="Times New Roman" w:hAnsi="Calibri" w:cs="Calibri"/>
                  <w:sz w:val="16"/>
                  <w:szCs w:val="16"/>
                  <w:lang w:eastAsia="fr-FR"/>
                </w:rPr>
                <w:t>https://drive.google.com/file/d/18XmGsV90yDqCda6g3aD3rmFivPDnIMqV/view</w:t>
              </w:r>
            </w:hyperlink>
            <w:r w:rsidR="00E63A4C">
              <w:rPr>
                <w:rFonts w:ascii="Calibri" w:eastAsia="Times New Roman" w:hAnsi="Calibri" w:cs="Calibri"/>
                <w:sz w:val="16"/>
                <w:szCs w:val="16"/>
                <w:lang w:eastAsia="fr-FR"/>
              </w:rPr>
              <w:t xml:space="preserve"> </w:t>
            </w:r>
            <w:r w:rsidRPr="00760930">
              <w:rPr>
                <w:rFonts w:ascii="Calibri" w:eastAsia="Times New Roman" w:hAnsi="Calibri" w:cs="Calibri"/>
                <w:sz w:val="16"/>
                <w:szCs w:val="16"/>
                <w:lang w:eastAsia="fr-FR"/>
              </w:rPr>
              <w:t xml:space="preserve">  qui renvoie à une annexe au rapport Contextuel 2016, un fichier Excel à trois feuilles. Cette annexe donne une explication sur l’allocation de certaines recettes en propre aux entités perceptrices en fournissant les informations sur :</w:t>
            </w:r>
            <w:r w:rsidRPr="00760930">
              <w:rPr>
                <w:rFonts w:ascii="Calibri" w:eastAsia="Times New Roman" w:hAnsi="Calibri" w:cs="Calibri"/>
                <w:sz w:val="16"/>
                <w:szCs w:val="16"/>
                <w:lang w:eastAsia="fr-FR"/>
              </w:rPr>
              <w:br/>
              <w:t>- L’agence perceptrice ;</w:t>
            </w:r>
            <w:r w:rsidRPr="00760930">
              <w:rPr>
                <w:rFonts w:ascii="Calibri" w:eastAsia="Times New Roman" w:hAnsi="Calibri" w:cs="Calibri"/>
                <w:sz w:val="16"/>
                <w:szCs w:val="16"/>
                <w:lang w:eastAsia="fr-FR"/>
              </w:rPr>
              <w:br/>
              <w:t>- La dénomination et la description du flux ;</w:t>
            </w:r>
            <w:r w:rsidRPr="00760930">
              <w:rPr>
                <w:rFonts w:ascii="Calibri" w:eastAsia="Times New Roman" w:hAnsi="Calibri" w:cs="Calibri"/>
                <w:sz w:val="16"/>
                <w:szCs w:val="16"/>
                <w:lang w:eastAsia="fr-FR"/>
              </w:rPr>
              <w:br/>
              <w:t>- La source légale ;</w:t>
            </w:r>
            <w:r w:rsidRPr="00760930">
              <w:rPr>
                <w:rFonts w:ascii="Calibri" w:eastAsia="Times New Roman" w:hAnsi="Calibri" w:cs="Calibri"/>
                <w:sz w:val="16"/>
                <w:szCs w:val="16"/>
                <w:lang w:eastAsia="fr-FR"/>
              </w:rPr>
              <w:br/>
              <w:t>- La base et le taux de taxation ;</w:t>
            </w:r>
            <w:r w:rsidRPr="00760930">
              <w:rPr>
                <w:rFonts w:ascii="Calibri" w:eastAsia="Times New Roman" w:hAnsi="Calibri" w:cs="Calibri"/>
                <w:sz w:val="16"/>
                <w:szCs w:val="16"/>
                <w:lang w:eastAsia="fr-FR"/>
              </w:rPr>
              <w:br/>
              <w:t>- Les entreprises assujetties, et</w:t>
            </w:r>
            <w:r w:rsidRPr="00760930">
              <w:rPr>
                <w:rFonts w:ascii="Calibri" w:eastAsia="Times New Roman" w:hAnsi="Calibri" w:cs="Calibri"/>
                <w:sz w:val="16"/>
                <w:szCs w:val="16"/>
                <w:lang w:eastAsia="fr-FR"/>
              </w:rPr>
              <w:br/>
              <w:t xml:space="preserve">- La base ou raison de sélection de chaque dans le cadre référentiel (flux </w:t>
            </w:r>
            <w:r w:rsidRPr="00760930">
              <w:rPr>
                <w:rFonts w:ascii="Calibri" w:eastAsia="Times New Roman" w:hAnsi="Calibri" w:cs="Calibri"/>
                <w:sz w:val="16"/>
                <w:szCs w:val="16"/>
                <w:lang w:eastAsia="fr-FR"/>
              </w:rPr>
              <w:lastRenderedPageBreak/>
              <w:t>retenus ou non, matériel et/ou spécifique ou conforme à l’Exigence 4.1 (b).</w:t>
            </w:r>
            <w:r w:rsidRPr="00760930">
              <w:rPr>
                <w:rFonts w:ascii="Calibri" w:eastAsia="Times New Roman" w:hAnsi="Calibri" w:cs="Calibri"/>
                <w:sz w:val="16"/>
                <w:szCs w:val="16"/>
                <w:lang w:eastAsia="fr-FR"/>
              </w:rPr>
              <w:br/>
              <w:t xml:space="preserve">Ces recettes propres aux entités sont considérées comme des produits d’exploitation comme tous les autres et servent, cas des AMR B et pénalités, à motiver les agents qui constatent et dénoncent les cas de fraude et autres délits. </w:t>
            </w:r>
          </w:p>
        </w:tc>
        <w:tc>
          <w:tcPr>
            <w:tcW w:w="977" w:type="dxa"/>
            <w:hideMark/>
          </w:tcPr>
          <w:p w:rsidR="008672C8" w:rsidRPr="009B0474"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FF"/>
                <w:sz w:val="16"/>
                <w:szCs w:val="16"/>
                <w:lang w:eastAsia="fr-FR"/>
              </w:rPr>
            </w:pPr>
            <w:r w:rsidRPr="009B0474">
              <w:rPr>
                <w:rFonts w:ascii="Calibri" w:eastAsia="Times New Roman" w:hAnsi="Calibri" w:cs="Calibri"/>
                <w:b/>
                <w:bCs/>
                <w:color w:val="0000FF"/>
                <w:sz w:val="16"/>
                <w:szCs w:val="16"/>
                <w:lang w:eastAsia="fr-FR"/>
              </w:rPr>
              <w:lastRenderedPageBreak/>
              <w:t>Progrès Significatif</w:t>
            </w:r>
          </w:p>
        </w:tc>
      </w:tr>
      <w:tr w:rsidR="008672C8" w:rsidRPr="00760930" w:rsidTr="00966F60">
        <w:trPr>
          <w:trHeight w:val="2652"/>
        </w:trPr>
        <w:tc>
          <w:tcPr>
            <w:cnfStyle w:val="001000000000" w:firstRow="0" w:lastRow="0" w:firstColumn="1" w:lastColumn="0" w:oddVBand="0" w:evenVBand="0" w:oddHBand="0" w:evenHBand="0" w:firstRowFirstColumn="0" w:firstRowLastColumn="0" w:lastRowFirstColumn="0" w:lastRowLastColumn="0"/>
            <w:tcW w:w="1165" w:type="dxa"/>
            <w:hideMark/>
          </w:tcPr>
          <w:p w:rsidR="008672C8" w:rsidRPr="00760930" w:rsidRDefault="009B0474" w:rsidP="008672C8">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lastRenderedPageBreak/>
              <w:t>Transferts</w:t>
            </w:r>
            <w:r w:rsidR="008672C8" w:rsidRPr="00760930">
              <w:rPr>
                <w:rFonts w:ascii="Calibri" w:eastAsia="Times New Roman" w:hAnsi="Calibri" w:cs="Calibri"/>
                <w:color w:val="000000"/>
                <w:sz w:val="16"/>
                <w:szCs w:val="16"/>
                <w:lang w:eastAsia="fr-FR"/>
              </w:rPr>
              <w:t xml:space="preserve"> infranationaux (5.2)</w:t>
            </w:r>
          </w:p>
        </w:tc>
        <w:tc>
          <w:tcPr>
            <w:tcW w:w="2716"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br/>
              <w:t>La RDC a pris des mesures, notamment depuis 2015, visant à améliorer la déclaration ITIE des transferts infranationaux dans le secteur minier, en fournissant un outil de diagnostic et une plateforme de débat pour les parties prenantes.</w:t>
            </w:r>
            <w:r w:rsidRPr="00760930">
              <w:rPr>
                <w:rFonts w:ascii="Calibri" w:eastAsia="Times New Roman" w:hAnsi="Calibri" w:cs="Calibri"/>
                <w:color w:val="000000"/>
                <w:sz w:val="16"/>
                <w:szCs w:val="16"/>
                <w:lang w:eastAsia="fr-FR"/>
              </w:rPr>
              <w:br/>
              <w:t xml:space="preserve"> Le Rapport ITIE 2015 présente une description des règles statutaires sur le partage des revenus extractifs avec les administrations locales, les écarts divulgués entre le montant calculé conformément à la formule de partage des revenus et le montant réellement transféré au gouvernement provincial de l’ex-Katanga, ainsi qu’un rapprochement entre les données du ministère des Finances et du gouvernement provincial de l’ex-Katanga. Cependant, il ne fournit aucune information sur les transferts infranationaux dans le secteur des hydrocarbures ni sur le statut des transferts aux autres entités de l’État infranationales (par exemple, les entités territoriales décentralisées et les gouvernements provinciau</w:t>
            </w:r>
            <w:r w:rsidR="009B0474">
              <w:rPr>
                <w:rFonts w:ascii="Calibri" w:eastAsia="Times New Roman" w:hAnsi="Calibri" w:cs="Calibri"/>
                <w:color w:val="000000"/>
                <w:sz w:val="16"/>
                <w:szCs w:val="16"/>
                <w:lang w:eastAsia="fr-FR"/>
              </w:rPr>
              <w:t>x en dehors de l’ex-Katanga).</w:t>
            </w:r>
            <w:r w:rsidR="009B0474">
              <w:rPr>
                <w:rFonts w:ascii="Calibri" w:eastAsia="Times New Roman" w:hAnsi="Calibri" w:cs="Calibri"/>
                <w:color w:val="000000"/>
                <w:sz w:val="16"/>
                <w:szCs w:val="16"/>
                <w:lang w:eastAsia="fr-FR"/>
              </w:rPr>
              <w:br/>
            </w:r>
            <w:r w:rsidRPr="00760930">
              <w:rPr>
                <w:rFonts w:ascii="Calibri" w:eastAsia="Times New Roman" w:hAnsi="Calibri" w:cs="Calibri"/>
                <w:color w:val="000000"/>
                <w:sz w:val="16"/>
                <w:szCs w:val="16"/>
                <w:lang w:eastAsia="fr-FR"/>
              </w:rPr>
              <w:lastRenderedPageBreak/>
              <w:t>Le Rapport contextuel ITIE 2016 divulgue des données concernant les transferts infranationaux réellement effectués en 2016 et les compare à la valeur théorique des transferts infranationaux en fonction de la formule de partage des revenus, sans toutefois fournir une désagrégation par province. Il  clarifie également le statut des transferts infranationaux dans les secteurs pétrolier et gazier.</w:t>
            </w:r>
          </w:p>
        </w:tc>
        <w:tc>
          <w:tcPr>
            <w:tcW w:w="1004"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 xml:space="preserve">Le validateur a approuvé les conclusions du SI ainsi que le niveau de </w:t>
            </w:r>
            <w:r w:rsidRPr="007F7F67">
              <w:rPr>
                <w:rFonts w:ascii="Calibri" w:eastAsia="Times New Roman" w:hAnsi="Calibri" w:cs="Calibri"/>
                <w:b/>
                <w:color w:val="FF0000"/>
                <w:sz w:val="16"/>
                <w:szCs w:val="16"/>
                <w:lang w:eastAsia="fr-FR"/>
              </w:rPr>
              <w:t>progrès significatif</w:t>
            </w:r>
            <w:r w:rsidRPr="007F7F67">
              <w:rPr>
                <w:rFonts w:ascii="Calibri" w:eastAsia="Times New Roman" w:hAnsi="Calibri" w:cs="Calibri"/>
                <w:color w:val="FF0000"/>
                <w:sz w:val="16"/>
                <w:szCs w:val="16"/>
                <w:lang w:eastAsia="fr-FR"/>
              </w:rPr>
              <w:t xml:space="preserve"> </w:t>
            </w:r>
          </w:p>
        </w:tc>
        <w:tc>
          <w:tcPr>
            <w:tcW w:w="2072" w:type="dxa"/>
            <w:hideMark/>
          </w:tcPr>
          <w:p w:rsidR="00F207D0" w:rsidRDefault="00F207D0"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Pr>
                <w:rFonts w:ascii="Calibri" w:eastAsia="Times New Roman" w:hAnsi="Calibri" w:cs="Calibri"/>
                <w:color w:val="000000"/>
                <w:sz w:val="16"/>
                <w:szCs w:val="16"/>
                <w:lang w:eastAsia="fr-FR"/>
              </w:rPr>
              <w:t>Conformément à l’Exigence 5.2.a :</w:t>
            </w:r>
          </w:p>
          <w:p w:rsidR="00F207D0" w:rsidRDefault="008672C8" w:rsidP="00F207D0">
            <w:pPr>
              <w:pStyle w:val="Paragraphedeliste"/>
              <w:numPr>
                <w:ilvl w:val="0"/>
                <w:numId w:val="13"/>
              </w:numPr>
              <w:tabs>
                <w:tab w:val="left" w:pos="16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la RDC devra s’assurer que les transferts infranationaux significatifs dans le secteur extractif soient divulgués publiquement, en soulignant les écarts entre les transferts infranationaux dans la pratique et le calcul selon la formule de partage des revenus, désagrégés par province, et</w:t>
            </w:r>
          </w:p>
          <w:p w:rsidR="00F207D0" w:rsidRDefault="008672C8" w:rsidP="00F207D0">
            <w:pPr>
              <w:pStyle w:val="Paragraphedeliste"/>
              <w:numPr>
                <w:ilvl w:val="0"/>
                <w:numId w:val="13"/>
              </w:numPr>
              <w:tabs>
                <w:tab w:val="left" w:pos="16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 la RDC est encouragée à travailler en collaboration étroite avec les divisions provinciales des mines, le ministère des Finances et la DGRAD afin de divulguer publiquement des données ponctuelles et exhaustives sur les transferts infranationaux de redevances minières jusqu’au changement du partage des revenus en juin 2018. En conformité avec l’Exigence 5.2.b, </w:t>
            </w:r>
          </w:p>
          <w:p w:rsidR="008672C8" w:rsidRPr="00F207D0" w:rsidRDefault="008672C8" w:rsidP="00F207D0">
            <w:pPr>
              <w:pStyle w:val="Paragraphedeliste"/>
              <w:numPr>
                <w:ilvl w:val="0"/>
                <w:numId w:val="13"/>
              </w:numPr>
              <w:tabs>
                <w:tab w:val="left" w:pos="16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lastRenderedPageBreak/>
              <w:t xml:space="preserve">la RDC est appelée à garantir que tous les transferts infranationaux discrétionnaires ou ad hoc significatifs sont également divulgués et, là où c’est possible, rapprochés. </w:t>
            </w:r>
          </w:p>
        </w:tc>
        <w:tc>
          <w:tcPr>
            <w:tcW w:w="1617" w:type="dxa"/>
            <w:noWrap/>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 </w:t>
            </w:r>
          </w:p>
        </w:tc>
        <w:tc>
          <w:tcPr>
            <w:tcW w:w="5118"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Les actions visant à rencontrer les  </w:t>
            </w:r>
            <w:r w:rsidR="009B0474" w:rsidRPr="00760930">
              <w:rPr>
                <w:rFonts w:ascii="Calibri" w:eastAsia="Times New Roman" w:hAnsi="Calibri" w:cs="Calibri"/>
                <w:color w:val="000000"/>
                <w:sz w:val="16"/>
                <w:szCs w:val="16"/>
                <w:lang w:eastAsia="fr-FR"/>
              </w:rPr>
              <w:t>recommandations</w:t>
            </w:r>
            <w:r w:rsidRPr="00760930">
              <w:rPr>
                <w:rFonts w:ascii="Calibri" w:eastAsia="Times New Roman" w:hAnsi="Calibri" w:cs="Calibri"/>
                <w:color w:val="000000"/>
                <w:sz w:val="16"/>
                <w:szCs w:val="16"/>
                <w:lang w:eastAsia="fr-FR"/>
              </w:rPr>
              <w:t xml:space="preserve">  24 et 25  du </w:t>
            </w:r>
            <w:r w:rsidR="009B0474" w:rsidRPr="00760930">
              <w:rPr>
                <w:rFonts w:ascii="Calibri" w:eastAsia="Times New Roman" w:hAnsi="Calibri" w:cs="Calibri"/>
                <w:color w:val="000000"/>
                <w:sz w:val="16"/>
                <w:szCs w:val="16"/>
                <w:lang w:eastAsia="fr-FR"/>
              </w:rPr>
              <w:t xml:space="preserve">Secrétariat International </w:t>
            </w:r>
            <w:r w:rsidRPr="00760930">
              <w:rPr>
                <w:rFonts w:ascii="Calibri" w:eastAsia="Times New Roman" w:hAnsi="Calibri" w:cs="Calibri"/>
                <w:color w:val="000000"/>
                <w:sz w:val="16"/>
                <w:szCs w:val="16"/>
                <w:lang w:eastAsia="fr-FR"/>
              </w:rPr>
              <w:t>seront menées par le GMP</w:t>
            </w:r>
          </w:p>
        </w:tc>
        <w:tc>
          <w:tcPr>
            <w:tcW w:w="977" w:type="dxa"/>
            <w:hideMark/>
          </w:tcPr>
          <w:p w:rsidR="008672C8" w:rsidRPr="009B0474"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FF"/>
                <w:sz w:val="16"/>
                <w:szCs w:val="16"/>
                <w:lang w:eastAsia="fr-FR"/>
              </w:rPr>
            </w:pPr>
            <w:r w:rsidRPr="009B0474">
              <w:rPr>
                <w:rFonts w:ascii="Calibri" w:eastAsia="Times New Roman" w:hAnsi="Calibri" w:cs="Calibri"/>
                <w:b/>
                <w:bCs/>
                <w:color w:val="0000FF"/>
                <w:sz w:val="16"/>
                <w:szCs w:val="16"/>
                <w:lang w:eastAsia="fr-FR"/>
              </w:rPr>
              <w:t>Progrès Significatif</w:t>
            </w:r>
          </w:p>
        </w:tc>
      </w:tr>
      <w:tr w:rsidR="008672C8" w:rsidRPr="00760930" w:rsidTr="00966F60">
        <w:trPr>
          <w:trHeight w:val="8172"/>
        </w:trPr>
        <w:tc>
          <w:tcPr>
            <w:cnfStyle w:val="001000000000" w:firstRow="0" w:lastRow="0" w:firstColumn="1" w:lastColumn="0" w:oddVBand="0" w:evenVBand="0" w:oddHBand="0" w:evenHBand="0" w:firstRowFirstColumn="0" w:firstRowLastColumn="0" w:lastRowFirstColumn="0" w:lastRowLastColumn="0"/>
            <w:tcW w:w="1165" w:type="dxa"/>
            <w:hideMark/>
          </w:tcPr>
          <w:p w:rsidR="009B0474" w:rsidRDefault="008672C8" w:rsidP="008672C8">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lastRenderedPageBreak/>
              <w:t xml:space="preserve">Dépenses sociales </w:t>
            </w:r>
          </w:p>
          <w:p w:rsidR="008672C8" w:rsidRPr="00760930" w:rsidRDefault="008672C8" w:rsidP="009B0474">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t>(6.1)</w:t>
            </w:r>
          </w:p>
        </w:tc>
        <w:tc>
          <w:tcPr>
            <w:tcW w:w="2716"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b/>
                <w:bCs/>
                <w:color w:val="000000"/>
                <w:sz w:val="16"/>
                <w:szCs w:val="16"/>
                <w:lang w:eastAsia="fr-FR"/>
              </w:rPr>
              <w:t>De l'exhaustivité des dépenses sociales</w:t>
            </w:r>
            <w:r w:rsidRPr="00760930">
              <w:rPr>
                <w:rFonts w:ascii="Calibri" w:eastAsia="Times New Roman" w:hAnsi="Calibri" w:cs="Calibri"/>
                <w:color w:val="000000"/>
                <w:sz w:val="16"/>
                <w:szCs w:val="16"/>
                <w:lang w:eastAsia="fr-FR"/>
              </w:rPr>
              <w:br/>
              <w:t>La déclaration ITIE de la RDC a fourni les divulgations unilatérales des dépenses sociales obligatoires et volontaires de 22 entreprises en 2016, désagrégées entre les dépenses en espèces et en nature, avec des informations détaillées en ligne sur les bénéficiaires, la nature, la valeur et la date des paiements, ainsi que sur le fondement juridique, le cas échéant. Toutefois, les parties prenantes ont fait part d’importantes préoccupations quant à l’exhaustivité des divulgations des dépenses sociales obligatoires compte tenu du faible nombre d’entreprises déclarantes.</w:t>
            </w:r>
            <w:r w:rsidRPr="00760930">
              <w:rPr>
                <w:rFonts w:ascii="Calibri" w:eastAsia="Times New Roman" w:hAnsi="Calibri" w:cs="Calibri"/>
                <w:color w:val="000000"/>
                <w:sz w:val="16"/>
                <w:szCs w:val="16"/>
                <w:lang w:eastAsia="fr-FR"/>
              </w:rPr>
              <w:br/>
              <w:t xml:space="preserve"> Les rapports couvrant 2015 et 2016 ne contenaient aucun commentaire sur l’exhaustivité des divulgations. Selon l’évaluation du Secrétariat international, l’objectif sous-jacent n’a donc pas encore été réalisé, tout en reconnaissant que l’ITIE RDC a pris d’importantes mesures pour améliorer les divulgations en 2017 et 2018, ce qui a débouché sur la publication d’une définition convenue des dépenses sociales obligatoires et sur une mise à jour des formulaires de déclaration ITIE pour les dépenses sociales. Les parties prenantes ont convenu de rapprocher les dépenses sociales obligatoires dans les futures déclarations ITIE. Le nouveau Code minier devrait permettre d’améliorer la traçabilité des dépenses sociales dans le secteur minier.</w:t>
            </w:r>
          </w:p>
        </w:tc>
        <w:tc>
          <w:tcPr>
            <w:tcW w:w="1004"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Le validateur a approuvé les conclusions du SI ainsi que le niveau de </w:t>
            </w:r>
            <w:r w:rsidRPr="007F7F67">
              <w:rPr>
                <w:rFonts w:ascii="Calibri" w:eastAsia="Times New Roman" w:hAnsi="Calibri" w:cs="Calibri"/>
                <w:b/>
                <w:color w:val="FF0000"/>
                <w:sz w:val="16"/>
                <w:szCs w:val="16"/>
                <w:lang w:eastAsia="fr-FR"/>
              </w:rPr>
              <w:t>progrès significatif</w:t>
            </w:r>
            <w:r w:rsidRPr="007F7F67">
              <w:rPr>
                <w:rFonts w:ascii="Calibri" w:eastAsia="Times New Roman" w:hAnsi="Calibri" w:cs="Calibri"/>
                <w:color w:val="FF0000"/>
                <w:sz w:val="16"/>
                <w:szCs w:val="16"/>
                <w:lang w:eastAsia="fr-FR"/>
              </w:rPr>
              <w:t xml:space="preserve"> </w:t>
            </w:r>
          </w:p>
        </w:tc>
        <w:tc>
          <w:tcPr>
            <w:tcW w:w="2072" w:type="dxa"/>
            <w:hideMark/>
          </w:tcPr>
          <w:p w:rsidR="00F207D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Confor</w:t>
            </w:r>
            <w:r w:rsidR="00F207D0">
              <w:rPr>
                <w:rFonts w:ascii="Calibri" w:eastAsia="Times New Roman" w:hAnsi="Calibri" w:cs="Calibri"/>
                <w:color w:val="000000"/>
                <w:sz w:val="16"/>
                <w:szCs w:val="16"/>
                <w:lang w:eastAsia="fr-FR"/>
              </w:rPr>
              <w:t>mément à l’Exigence 6.1 :</w:t>
            </w:r>
          </w:p>
          <w:p w:rsidR="00F207D0" w:rsidRDefault="008672C8" w:rsidP="00F207D0">
            <w:pPr>
              <w:pStyle w:val="Paragraphedeliste"/>
              <w:numPr>
                <w:ilvl w:val="0"/>
                <w:numId w:val="13"/>
              </w:numPr>
              <w:tabs>
                <w:tab w:val="left" w:pos="15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la RDC est tenue de divulguer les dépenses sociales obligatoires significatives et, si possible, de les rapprocher.</w:t>
            </w:r>
          </w:p>
          <w:p w:rsidR="008672C8" w:rsidRPr="00F207D0" w:rsidRDefault="008672C8" w:rsidP="00F207D0">
            <w:pPr>
              <w:pStyle w:val="Paragraphedeliste"/>
              <w:numPr>
                <w:ilvl w:val="0"/>
                <w:numId w:val="13"/>
              </w:numPr>
              <w:tabs>
                <w:tab w:val="left" w:pos="152"/>
              </w:tabs>
              <w:ind w:left="0"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 La RDC est encouragée à poursuivre ses divulgations ITIE des dépenses sociales volontaires. À la suite de réformes juridiques dans le secteur minier, le gouvernement pourrait souhaiter examiner les possibilités existantes en matière de divulgation publique et systématique des dépenses sociales et environnementales par le biais de systèmes gouvernementaux.</w:t>
            </w:r>
          </w:p>
        </w:tc>
        <w:tc>
          <w:tcPr>
            <w:tcW w:w="1617"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Pas d'accord avec le validateur</w:t>
            </w:r>
          </w:p>
        </w:tc>
        <w:tc>
          <w:tcPr>
            <w:tcW w:w="5118" w:type="dxa"/>
            <w:hideMark/>
          </w:tcPr>
          <w:p w:rsidR="00BC486E" w:rsidRPr="00BC486E" w:rsidRDefault="008672C8" w:rsidP="00BC486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r w:rsidRPr="00760930">
              <w:rPr>
                <w:rFonts w:ascii="Calibri" w:eastAsia="Times New Roman" w:hAnsi="Calibri" w:cs="Calibri"/>
                <w:sz w:val="16"/>
                <w:szCs w:val="16"/>
                <w:lang w:eastAsia="fr-FR"/>
              </w:rPr>
              <w:t>Comme les autres revenus, les dépenses sociales</w:t>
            </w:r>
            <w:r w:rsidR="00BC486E">
              <w:rPr>
                <w:rFonts w:ascii="Calibri" w:eastAsia="Times New Roman" w:hAnsi="Calibri" w:cs="Calibri"/>
                <w:sz w:val="16"/>
                <w:szCs w:val="16"/>
                <w:lang w:eastAsia="fr-FR"/>
              </w:rPr>
              <w:t>,</w:t>
            </w:r>
            <w:r w:rsidRPr="00760930">
              <w:rPr>
                <w:rFonts w:ascii="Calibri" w:eastAsia="Times New Roman" w:hAnsi="Calibri" w:cs="Calibri"/>
                <w:sz w:val="16"/>
                <w:szCs w:val="16"/>
                <w:lang w:eastAsia="fr-FR"/>
              </w:rPr>
              <w:t xml:space="preserve"> qu'elles soient obligatoires ou volontaires, sont déclarées au moyen d'un formulaire envoyé à toutes les entreprises extractives du périmètre de conciliation sans considération du secteur, de la taille et de la  phase d'activité. Les entreprises le remplissent à leur guise et le chargent dans le système d'où il est enregistré puis traité. </w:t>
            </w:r>
            <w:r w:rsidRPr="00760930">
              <w:rPr>
                <w:rFonts w:ascii="Calibri" w:eastAsia="Times New Roman" w:hAnsi="Calibri" w:cs="Calibri"/>
                <w:sz w:val="16"/>
                <w:szCs w:val="16"/>
                <w:lang w:eastAsia="fr-FR"/>
              </w:rPr>
              <w:br/>
              <w:t xml:space="preserve">Aucun seuil de matérialité n'a été fixé pour déclarer les dépenses obligatoires. Le formulaire capte tout montant engagé et contient toutes les </w:t>
            </w:r>
            <w:r w:rsidR="009B0474" w:rsidRPr="00760930">
              <w:rPr>
                <w:rFonts w:ascii="Calibri" w:eastAsia="Times New Roman" w:hAnsi="Calibri" w:cs="Calibri"/>
                <w:sz w:val="16"/>
                <w:szCs w:val="16"/>
                <w:lang w:eastAsia="fr-FR"/>
              </w:rPr>
              <w:t>spécifications</w:t>
            </w:r>
            <w:r w:rsidRPr="00760930">
              <w:rPr>
                <w:rFonts w:ascii="Calibri" w:eastAsia="Times New Roman" w:hAnsi="Calibri" w:cs="Calibri"/>
                <w:sz w:val="16"/>
                <w:szCs w:val="16"/>
                <w:lang w:eastAsia="fr-FR"/>
              </w:rPr>
              <w:t xml:space="preserve"> (identité et </w:t>
            </w:r>
            <w:r w:rsidR="009B0474" w:rsidRPr="00760930">
              <w:rPr>
                <w:rFonts w:ascii="Calibri" w:eastAsia="Times New Roman" w:hAnsi="Calibri" w:cs="Calibri"/>
                <w:sz w:val="16"/>
                <w:szCs w:val="16"/>
                <w:lang w:eastAsia="fr-FR"/>
              </w:rPr>
              <w:t>région</w:t>
            </w:r>
            <w:r w:rsidRPr="00760930">
              <w:rPr>
                <w:rFonts w:ascii="Calibri" w:eastAsia="Times New Roman" w:hAnsi="Calibri" w:cs="Calibri"/>
                <w:sz w:val="16"/>
                <w:szCs w:val="16"/>
                <w:lang w:eastAsia="fr-FR"/>
              </w:rPr>
              <w:t xml:space="preserve"> du bénéficiaire, la forme de paiement, le montant payé et la base juridique du paiement) permettant ainsi de  renseigner  les transactions. Néanmoins, il n'a pas été possible de </w:t>
            </w:r>
            <w:r w:rsidR="009B0474" w:rsidRPr="00760930">
              <w:rPr>
                <w:rFonts w:ascii="Calibri" w:eastAsia="Times New Roman" w:hAnsi="Calibri" w:cs="Calibri"/>
                <w:sz w:val="16"/>
                <w:szCs w:val="16"/>
                <w:lang w:eastAsia="fr-FR"/>
              </w:rPr>
              <w:t>réconcilier</w:t>
            </w:r>
            <w:r w:rsidRPr="00760930">
              <w:rPr>
                <w:rFonts w:ascii="Calibri" w:eastAsia="Times New Roman" w:hAnsi="Calibri" w:cs="Calibri"/>
                <w:sz w:val="16"/>
                <w:szCs w:val="16"/>
                <w:lang w:eastAsia="fr-FR"/>
              </w:rPr>
              <w:t xml:space="preserve"> ces dernières</w:t>
            </w:r>
            <w:r w:rsidR="00BC486E">
              <w:rPr>
                <w:rFonts w:ascii="Calibri" w:eastAsia="Times New Roman" w:hAnsi="Calibri" w:cs="Calibri"/>
                <w:sz w:val="16"/>
                <w:szCs w:val="16"/>
                <w:lang w:eastAsia="fr-FR"/>
              </w:rPr>
              <w:t>,</w:t>
            </w:r>
            <w:r w:rsidRPr="00760930">
              <w:rPr>
                <w:rFonts w:ascii="Calibri" w:eastAsia="Times New Roman" w:hAnsi="Calibri" w:cs="Calibri"/>
                <w:sz w:val="16"/>
                <w:szCs w:val="16"/>
                <w:lang w:eastAsia="fr-FR"/>
              </w:rPr>
              <w:t xml:space="preserve"> faute d'une définition adaptée de la dépense sociale, d'une structure de </w:t>
            </w:r>
            <w:r w:rsidR="009B0474" w:rsidRPr="00760930">
              <w:rPr>
                <w:rFonts w:ascii="Calibri" w:eastAsia="Times New Roman" w:hAnsi="Calibri" w:cs="Calibri"/>
                <w:sz w:val="16"/>
                <w:szCs w:val="16"/>
                <w:lang w:eastAsia="fr-FR"/>
              </w:rPr>
              <w:t>réconciliation</w:t>
            </w:r>
            <w:r w:rsidRPr="00760930">
              <w:rPr>
                <w:rFonts w:ascii="Calibri" w:eastAsia="Times New Roman" w:hAnsi="Calibri" w:cs="Calibri"/>
                <w:sz w:val="16"/>
                <w:szCs w:val="16"/>
                <w:lang w:eastAsia="fr-FR"/>
              </w:rPr>
              <w:t xml:space="preserve"> et d'un mécanisme de suivi.  Pour l'instant, elles font l'objet d'une divulgation unilatérale. Cependant, une commission composée des délégués de la Société Civile et des entreprises, mise en place par les parties prenantes, s’est réunie du 08 au 09 mars 2018  et a convenu d'une </w:t>
            </w:r>
            <w:r w:rsidR="009B0474" w:rsidRPr="00760930">
              <w:rPr>
                <w:rFonts w:ascii="Calibri" w:eastAsia="Times New Roman" w:hAnsi="Calibri" w:cs="Calibri"/>
                <w:sz w:val="16"/>
                <w:szCs w:val="16"/>
                <w:lang w:eastAsia="fr-FR"/>
              </w:rPr>
              <w:t>définition</w:t>
            </w:r>
            <w:r w:rsidRPr="00760930">
              <w:rPr>
                <w:rFonts w:ascii="Calibri" w:eastAsia="Times New Roman" w:hAnsi="Calibri" w:cs="Calibri"/>
                <w:sz w:val="16"/>
                <w:szCs w:val="16"/>
                <w:lang w:eastAsia="fr-FR"/>
              </w:rPr>
              <w:t xml:space="preserve">, d'un </w:t>
            </w:r>
            <w:r w:rsidR="009B0474" w:rsidRPr="00760930">
              <w:rPr>
                <w:rFonts w:ascii="Calibri" w:eastAsia="Times New Roman" w:hAnsi="Calibri" w:cs="Calibri"/>
                <w:sz w:val="16"/>
                <w:szCs w:val="16"/>
                <w:lang w:eastAsia="fr-FR"/>
              </w:rPr>
              <w:t>référentiel</w:t>
            </w:r>
            <w:r w:rsidRPr="00760930">
              <w:rPr>
                <w:rFonts w:ascii="Calibri" w:eastAsia="Times New Roman" w:hAnsi="Calibri" w:cs="Calibri"/>
                <w:sz w:val="16"/>
                <w:szCs w:val="16"/>
                <w:lang w:eastAsia="fr-FR"/>
              </w:rPr>
              <w:t xml:space="preserve"> et d'un mécanisme de suivi. Ce qui facilitera la </w:t>
            </w:r>
            <w:r w:rsidR="009B0474" w:rsidRPr="00760930">
              <w:rPr>
                <w:rFonts w:ascii="Calibri" w:eastAsia="Times New Roman" w:hAnsi="Calibri" w:cs="Calibri"/>
                <w:sz w:val="16"/>
                <w:szCs w:val="16"/>
                <w:lang w:eastAsia="fr-FR"/>
              </w:rPr>
              <w:t>réconciliation</w:t>
            </w:r>
            <w:r w:rsidRPr="00760930">
              <w:rPr>
                <w:rFonts w:ascii="Calibri" w:eastAsia="Times New Roman" w:hAnsi="Calibri" w:cs="Calibri"/>
                <w:sz w:val="16"/>
                <w:szCs w:val="16"/>
                <w:lang w:eastAsia="fr-FR"/>
              </w:rPr>
              <w:t xml:space="preserve"> dans les prochains rapports.  La Commission a convenu ce qui suit</w:t>
            </w:r>
            <w:r w:rsidR="00BC486E">
              <w:rPr>
                <w:rFonts w:ascii="Calibri" w:eastAsia="Times New Roman" w:hAnsi="Calibri" w:cs="Calibri"/>
                <w:sz w:val="16"/>
                <w:szCs w:val="16"/>
                <w:lang w:eastAsia="fr-FR"/>
              </w:rPr>
              <w:t xml:space="preserve"> </w:t>
            </w:r>
            <w:proofErr w:type="gramStart"/>
            <w:r w:rsidRPr="00760930">
              <w:rPr>
                <w:rFonts w:ascii="Calibri" w:eastAsia="Times New Roman" w:hAnsi="Calibri" w:cs="Calibri"/>
                <w:sz w:val="16"/>
                <w:szCs w:val="16"/>
                <w:lang w:eastAsia="fr-FR"/>
              </w:rPr>
              <w:t>:</w:t>
            </w:r>
            <w:proofErr w:type="gramEnd"/>
            <w:r w:rsidRPr="00760930">
              <w:rPr>
                <w:rFonts w:ascii="Calibri" w:eastAsia="Times New Roman" w:hAnsi="Calibri" w:cs="Calibri"/>
                <w:sz w:val="16"/>
                <w:szCs w:val="16"/>
                <w:lang w:eastAsia="fr-FR"/>
              </w:rPr>
              <w:br/>
              <w:t>De la dépense sociale :</w:t>
            </w:r>
            <w:r w:rsidRPr="00760930">
              <w:rPr>
                <w:rFonts w:ascii="Calibri" w:eastAsia="Times New Roman" w:hAnsi="Calibri" w:cs="Calibri"/>
                <w:sz w:val="16"/>
                <w:szCs w:val="16"/>
                <w:lang w:eastAsia="fr-FR"/>
              </w:rPr>
              <w:br/>
              <w:t>« Est considérée comme dépense sociale, tout paiement, en nature, ou en numéraire, obligatoire ou volontaire, effectué par une entreprise ou autre, pour l’amélioration des conditions de vie de la communauté impactée ou non par ses activités, et qui répond aux préoccupations des parties prenantes, sauf celui fait pour son personnel et pour elle-même. »</w:t>
            </w:r>
            <w:r w:rsidRPr="00760930">
              <w:rPr>
                <w:rFonts w:ascii="Calibri" w:eastAsia="Times New Roman" w:hAnsi="Calibri" w:cs="Calibri"/>
                <w:sz w:val="16"/>
                <w:szCs w:val="16"/>
                <w:lang w:eastAsia="fr-FR"/>
              </w:rPr>
              <w:br/>
              <w:t xml:space="preserve">Du référentiel des dépenses sociales </w:t>
            </w:r>
            <w:r w:rsidR="00BC486E" w:rsidRPr="00760930">
              <w:rPr>
                <w:rFonts w:ascii="Calibri" w:eastAsia="Times New Roman" w:hAnsi="Calibri" w:cs="Calibri"/>
                <w:sz w:val="16"/>
                <w:szCs w:val="16"/>
                <w:lang w:eastAsia="fr-FR"/>
              </w:rPr>
              <w:t xml:space="preserve">: </w:t>
            </w:r>
            <w:r w:rsidRPr="00760930">
              <w:rPr>
                <w:rFonts w:ascii="Calibri" w:eastAsia="Times New Roman" w:hAnsi="Calibri" w:cs="Calibri"/>
                <w:sz w:val="16"/>
                <w:szCs w:val="16"/>
                <w:lang w:eastAsia="fr-FR"/>
              </w:rPr>
              <w:br/>
              <w:t xml:space="preserve">Le référentiel convenu est disponible sur </w:t>
            </w:r>
            <w:r w:rsidR="00BC486E">
              <w:rPr>
                <w:rFonts w:ascii="Calibri" w:eastAsia="Times New Roman" w:hAnsi="Calibri" w:cs="Calibri"/>
                <w:sz w:val="16"/>
                <w:szCs w:val="16"/>
                <w:lang w:eastAsia="fr-FR"/>
              </w:rPr>
              <w:t xml:space="preserve">le </w:t>
            </w:r>
            <w:r w:rsidRPr="00760930">
              <w:rPr>
                <w:rFonts w:ascii="Calibri" w:eastAsia="Times New Roman" w:hAnsi="Calibri" w:cs="Calibri"/>
                <w:sz w:val="16"/>
                <w:szCs w:val="16"/>
                <w:lang w:eastAsia="fr-FR"/>
              </w:rPr>
              <w:t>site</w:t>
            </w:r>
            <w:r w:rsidR="00BC486E">
              <w:rPr>
                <w:rFonts w:ascii="Calibri" w:eastAsia="Times New Roman" w:hAnsi="Calibri" w:cs="Calibri"/>
                <w:sz w:val="16"/>
                <w:szCs w:val="16"/>
                <w:lang w:eastAsia="fr-FR"/>
              </w:rPr>
              <w:t xml:space="preserve"> web de l’ITIE-RDC</w:t>
            </w:r>
            <w:r w:rsidRPr="00760930">
              <w:rPr>
                <w:rFonts w:ascii="Calibri" w:eastAsia="Times New Roman" w:hAnsi="Calibri" w:cs="Calibri"/>
                <w:sz w:val="16"/>
                <w:szCs w:val="16"/>
                <w:lang w:eastAsia="fr-FR"/>
              </w:rPr>
              <w:t xml:space="preserve">. </w:t>
            </w:r>
            <w:r w:rsidRPr="00760930">
              <w:rPr>
                <w:rFonts w:ascii="Calibri" w:eastAsia="Times New Roman" w:hAnsi="Calibri" w:cs="Calibri"/>
                <w:sz w:val="16"/>
                <w:szCs w:val="16"/>
                <w:lang w:eastAsia="fr-FR"/>
              </w:rPr>
              <w:br/>
            </w:r>
          </w:p>
          <w:p w:rsidR="00BC486E" w:rsidRPr="00BC486E" w:rsidRDefault="008672C8" w:rsidP="00BC486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r w:rsidRPr="00760930">
              <w:rPr>
                <w:rFonts w:ascii="Calibri" w:eastAsia="Times New Roman" w:hAnsi="Calibri" w:cs="Calibri"/>
                <w:sz w:val="16"/>
                <w:szCs w:val="16"/>
                <w:lang w:eastAsia="fr-FR"/>
              </w:rPr>
              <w:t xml:space="preserve">Les rapports 2012 à 2015 contiennent des informations assez détaillées sur les dépenses sociales obligatoires et volontaires. La divulgation étant libre et </w:t>
            </w:r>
            <w:r w:rsidR="009B0474" w:rsidRPr="00760930">
              <w:rPr>
                <w:rFonts w:ascii="Calibri" w:eastAsia="Times New Roman" w:hAnsi="Calibri" w:cs="Calibri"/>
                <w:sz w:val="16"/>
                <w:szCs w:val="16"/>
                <w:lang w:eastAsia="fr-FR"/>
              </w:rPr>
              <w:t>unilatérale</w:t>
            </w:r>
            <w:r w:rsidRPr="00760930">
              <w:rPr>
                <w:rFonts w:ascii="Calibri" w:eastAsia="Times New Roman" w:hAnsi="Calibri" w:cs="Calibri"/>
                <w:sz w:val="16"/>
                <w:szCs w:val="16"/>
                <w:lang w:eastAsia="fr-FR"/>
              </w:rPr>
              <w:t xml:space="preserve">, il n'était de la compétence de l'Administrateur </w:t>
            </w:r>
            <w:r w:rsidR="00BC486E">
              <w:rPr>
                <w:rFonts w:ascii="Calibri" w:eastAsia="Times New Roman" w:hAnsi="Calibri" w:cs="Calibri"/>
                <w:sz w:val="16"/>
                <w:szCs w:val="16"/>
                <w:lang w:eastAsia="fr-FR"/>
              </w:rPr>
              <w:t>I</w:t>
            </w:r>
            <w:r w:rsidR="009B0474" w:rsidRPr="00760930">
              <w:rPr>
                <w:rFonts w:ascii="Calibri" w:eastAsia="Times New Roman" w:hAnsi="Calibri" w:cs="Calibri"/>
                <w:sz w:val="16"/>
                <w:szCs w:val="16"/>
                <w:lang w:eastAsia="fr-FR"/>
              </w:rPr>
              <w:t>ndépendant</w:t>
            </w:r>
            <w:r w:rsidRPr="00760930">
              <w:rPr>
                <w:rFonts w:ascii="Calibri" w:eastAsia="Times New Roman" w:hAnsi="Calibri" w:cs="Calibri"/>
                <w:sz w:val="16"/>
                <w:szCs w:val="16"/>
                <w:lang w:eastAsia="fr-FR"/>
              </w:rPr>
              <w:t xml:space="preserve"> de vérifier l'exhaustivité au regard du nombre d'entreprises qui composent le périmètre.</w:t>
            </w:r>
            <w:r w:rsidRPr="00760930">
              <w:rPr>
                <w:rFonts w:ascii="Calibri" w:eastAsia="Times New Roman" w:hAnsi="Calibri" w:cs="Calibri"/>
                <w:sz w:val="16"/>
                <w:szCs w:val="16"/>
                <w:lang w:eastAsia="fr-FR"/>
              </w:rPr>
              <w:br/>
            </w:r>
          </w:p>
          <w:p w:rsidR="00BC486E" w:rsidRDefault="008672C8" w:rsidP="00BC486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sidRPr="00760930">
              <w:rPr>
                <w:rFonts w:ascii="Calibri" w:eastAsia="Times New Roman" w:hAnsi="Calibri" w:cs="Calibri"/>
                <w:sz w:val="16"/>
                <w:szCs w:val="16"/>
                <w:lang w:eastAsia="fr-FR"/>
              </w:rPr>
              <w:t xml:space="preserve">En vue  de déterminer le niveau de progrès significatif pour cette exigence, le </w:t>
            </w:r>
            <w:r w:rsidR="009B0474" w:rsidRPr="00760930">
              <w:rPr>
                <w:rFonts w:ascii="Calibri" w:eastAsia="Times New Roman" w:hAnsi="Calibri" w:cs="Calibri"/>
                <w:sz w:val="16"/>
                <w:szCs w:val="16"/>
                <w:lang w:eastAsia="fr-FR"/>
              </w:rPr>
              <w:t>Secrétariat</w:t>
            </w:r>
            <w:r w:rsidRPr="00760930">
              <w:rPr>
                <w:rFonts w:ascii="Calibri" w:eastAsia="Times New Roman" w:hAnsi="Calibri" w:cs="Calibri"/>
                <w:sz w:val="16"/>
                <w:szCs w:val="16"/>
                <w:lang w:eastAsia="fr-FR"/>
              </w:rPr>
              <w:t xml:space="preserve"> International motive son argument  </w:t>
            </w:r>
            <w:r w:rsidR="00BC486E">
              <w:rPr>
                <w:rFonts w:ascii="Calibri" w:eastAsia="Times New Roman" w:hAnsi="Calibri" w:cs="Calibri"/>
                <w:sz w:val="16"/>
                <w:szCs w:val="16"/>
                <w:lang w:eastAsia="fr-FR"/>
              </w:rPr>
              <w:t>en in</w:t>
            </w:r>
            <w:r w:rsidRPr="00760930">
              <w:rPr>
                <w:rFonts w:ascii="Calibri" w:eastAsia="Times New Roman" w:hAnsi="Calibri" w:cs="Calibri"/>
                <w:sz w:val="16"/>
                <w:szCs w:val="16"/>
                <w:lang w:eastAsia="fr-FR"/>
              </w:rPr>
              <w:t>voqu</w:t>
            </w:r>
            <w:r w:rsidR="00BC486E">
              <w:rPr>
                <w:rFonts w:ascii="Calibri" w:eastAsia="Times New Roman" w:hAnsi="Calibri" w:cs="Calibri"/>
                <w:sz w:val="16"/>
                <w:szCs w:val="16"/>
                <w:lang w:eastAsia="fr-FR"/>
              </w:rPr>
              <w:t>ant</w:t>
            </w:r>
            <w:r w:rsidRPr="00760930">
              <w:rPr>
                <w:rFonts w:ascii="Calibri" w:eastAsia="Times New Roman" w:hAnsi="Calibri" w:cs="Calibri"/>
                <w:sz w:val="16"/>
                <w:szCs w:val="16"/>
                <w:lang w:eastAsia="fr-FR"/>
              </w:rPr>
              <w:t xml:space="preserve"> "d’importantes préoccupations (des parties prenantes) quant à l’exhaustivité des divulgations des dépenses sociales obligatoires compte tenu du faible nombre d’entreprises déclarantes et l'absence d'un </w:t>
            </w:r>
            <w:r w:rsidR="009B0474" w:rsidRPr="00760930">
              <w:rPr>
                <w:rFonts w:ascii="Calibri" w:eastAsia="Times New Roman" w:hAnsi="Calibri" w:cs="Calibri"/>
                <w:sz w:val="16"/>
                <w:szCs w:val="16"/>
                <w:lang w:eastAsia="fr-FR"/>
              </w:rPr>
              <w:t>commentaire</w:t>
            </w:r>
            <w:r w:rsidRPr="00760930">
              <w:rPr>
                <w:rFonts w:ascii="Calibri" w:eastAsia="Times New Roman" w:hAnsi="Calibri" w:cs="Calibri"/>
                <w:sz w:val="16"/>
                <w:szCs w:val="16"/>
                <w:lang w:eastAsia="fr-FR"/>
              </w:rPr>
              <w:t xml:space="preserve"> sur l’exhaustivité des divulgations dans les rapports couvrant </w:t>
            </w:r>
            <w:r w:rsidR="00BC486E">
              <w:rPr>
                <w:rFonts w:ascii="Calibri" w:eastAsia="Times New Roman" w:hAnsi="Calibri" w:cs="Calibri"/>
                <w:sz w:val="16"/>
                <w:szCs w:val="16"/>
                <w:lang w:eastAsia="fr-FR"/>
              </w:rPr>
              <w:t xml:space="preserve">les exercices </w:t>
            </w:r>
            <w:r w:rsidRPr="00760930">
              <w:rPr>
                <w:rFonts w:ascii="Calibri" w:eastAsia="Times New Roman" w:hAnsi="Calibri" w:cs="Calibri"/>
                <w:sz w:val="16"/>
                <w:szCs w:val="16"/>
                <w:lang w:eastAsia="fr-FR"/>
              </w:rPr>
              <w:t>2015 et 2016</w:t>
            </w:r>
            <w:r w:rsidR="0062492B" w:rsidRPr="00760930">
              <w:rPr>
                <w:rFonts w:ascii="Calibri" w:eastAsia="Times New Roman" w:hAnsi="Calibri" w:cs="Calibri"/>
                <w:sz w:val="16"/>
                <w:szCs w:val="16"/>
                <w:lang w:eastAsia="fr-FR"/>
              </w:rPr>
              <w:t>"</w:t>
            </w:r>
            <w:r w:rsidRPr="00760930">
              <w:rPr>
                <w:rFonts w:ascii="Calibri" w:eastAsia="Times New Roman" w:hAnsi="Calibri" w:cs="Calibri"/>
                <w:sz w:val="16"/>
                <w:szCs w:val="16"/>
                <w:lang w:eastAsia="fr-FR"/>
              </w:rPr>
              <w:t xml:space="preserve">. Il conclut que l’objectif sous-jacent n’a donc pas encore été réalisé.  </w:t>
            </w:r>
          </w:p>
          <w:p w:rsidR="00BC486E" w:rsidRPr="00BC486E" w:rsidRDefault="00BC486E" w:rsidP="00BC486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p>
          <w:p w:rsidR="00257BC5" w:rsidRDefault="00257BC5" w:rsidP="00BC486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fr-FR"/>
              </w:rPr>
            </w:pPr>
            <w:r>
              <w:rPr>
                <w:rFonts w:ascii="Calibri" w:eastAsia="Times New Roman" w:hAnsi="Calibri" w:cs="Calibri"/>
                <w:sz w:val="16"/>
                <w:szCs w:val="16"/>
                <w:lang w:eastAsia="fr-FR"/>
              </w:rPr>
              <w:t xml:space="preserve">Le GMP est d’avis que cette conclusion repose sur des </w:t>
            </w:r>
            <w:r w:rsidR="00037D8A">
              <w:rPr>
                <w:rFonts w:ascii="Calibri" w:eastAsia="Times New Roman" w:hAnsi="Calibri" w:cs="Calibri"/>
                <w:sz w:val="16"/>
                <w:szCs w:val="16"/>
                <w:lang w:eastAsia="fr-FR"/>
              </w:rPr>
              <w:t>présomptions</w:t>
            </w:r>
            <w:r>
              <w:rPr>
                <w:rFonts w:ascii="Calibri" w:eastAsia="Times New Roman" w:hAnsi="Calibri" w:cs="Calibri"/>
                <w:sz w:val="16"/>
                <w:szCs w:val="16"/>
                <w:lang w:eastAsia="fr-FR"/>
              </w:rPr>
              <w:t xml:space="preserve">. </w:t>
            </w:r>
          </w:p>
          <w:p w:rsidR="00BC486E" w:rsidRPr="00BC486E" w:rsidRDefault="00257BC5" w:rsidP="00BC486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6"/>
                <w:szCs w:val="6"/>
                <w:lang w:eastAsia="fr-FR"/>
              </w:rPr>
            </w:pPr>
            <w:r>
              <w:rPr>
                <w:rFonts w:ascii="Calibri" w:eastAsia="Times New Roman" w:hAnsi="Calibri" w:cs="Calibri"/>
                <w:sz w:val="16"/>
                <w:szCs w:val="16"/>
                <w:lang w:eastAsia="fr-FR"/>
              </w:rPr>
              <w:t>En effet,</w:t>
            </w:r>
            <w:r w:rsidR="00037D8A">
              <w:rPr>
                <w:rFonts w:ascii="Calibri" w:eastAsia="Times New Roman" w:hAnsi="Calibri" w:cs="Calibri"/>
                <w:sz w:val="16"/>
                <w:szCs w:val="16"/>
                <w:lang w:eastAsia="fr-FR"/>
              </w:rPr>
              <w:t xml:space="preserve"> ni </w:t>
            </w:r>
            <w:r w:rsidR="008672C8" w:rsidRPr="00760930">
              <w:rPr>
                <w:rFonts w:ascii="Calibri" w:eastAsia="Times New Roman" w:hAnsi="Calibri" w:cs="Calibri"/>
                <w:sz w:val="16"/>
                <w:szCs w:val="16"/>
                <w:lang w:eastAsia="fr-FR"/>
              </w:rPr>
              <w:t>les parties prenantes</w:t>
            </w:r>
            <w:r w:rsidR="00037D8A">
              <w:rPr>
                <w:rFonts w:ascii="Calibri" w:eastAsia="Times New Roman" w:hAnsi="Calibri" w:cs="Calibri"/>
                <w:sz w:val="16"/>
                <w:szCs w:val="16"/>
                <w:lang w:eastAsia="fr-FR"/>
              </w:rPr>
              <w:t>, encore moins</w:t>
            </w:r>
            <w:r w:rsidR="008672C8" w:rsidRPr="00760930">
              <w:rPr>
                <w:rFonts w:ascii="Calibri" w:eastAsia="Times New Roman" w:hAnsi="Calibri" w:cs="Calibri"/>
                <w:sz w:val="16"/>
                <w:szCs w:val="16"/>
                <w:lang w:eastAsia="fr-FR"/>
              </w:rPr>
              <w:t xml:space="preserve"> le </w:t>
            </w:r>
            <w:r w:rsidR="009B0474" w:rsidRPr="00760930">
              <w:rPr>
                <w:rFonts w:ascii="Calibri" w:eastAsia="Times New Roman" w:hAnsi="Calibri" w:cs="Calibri"/>
                <w:sz w:val="16"/>
                <w:szCs w:val="16"/>
                <w:lang w:eastAsia="fr-FR"/>
              </w:rPr>
              <w:t>Secrétariat</w:t>
            </w:r>
            <w:r w:rsidR="008672C8" w:rsidRPr="00760930">
              <w:rPr>
                <w:rFonts w:ascii="Calibri" w:eastAsia="Times New Roman" w:hAnsi="Calibri" w:cs="Calibri"/>
                <w:sz w:val="16"/>
                <w:szCs w:val="16"/>
                <w:lang w:eastAsia="fr-FR"/>
              </w:rPr>
              <w:t xml:space="preserve"> </w:t>
            </w:r>
            <w:r w:rsidR="00037D8A" w:rsidRPr="00760930">
              <w:rPr>
                <w:rFonts w:ascii="Calibri" w:eastAsia="Times New Roman" w:hAnsi="Calibri" w:cs="Calibri"/>
                <w:sz w:val="16"/>
                <w:szCs w:val="16"/>
                <w:lang w:eastAsia="fr-FR"/>
              </w:rPr>
              <w:t>I</w:t>
            </w:r>
            <w:r w:rsidR="009B0474" w:rsidRPr="00760930">
              <w:rPr>
                <w:rFonts w:ascii="Calibri" w:eastAsia="Times New Roman" w:hAnsi="Calibri" w:cs="Calibri"/>
                <w:sz w:val="16"/>
                <w:szCs w:val="16"/>
                <w:lang w:eastAsia="fr-FR"/>
              </w:rPr>
              <w:t>nternational</w:t>
            </w:r>
            <w:r w:rsidR="008672C8" w:rsidRPr="00760930">
              <w:rPr>
                <w:rFonts w:ascii="Calibri" w:eastAsia="Times New Roman" w:hAnsi="Calibri" w:cs="Calibri"/>
                <w:sz w:val="16"/>
                <w:szCs w:val="16"/>
                <w:lang w:eastAsia="fr-FR"/>
              </w:rPr>
              <w:t xml:space="preserve"> n'apportent </w:t>
            </w:r>
            <w:r w:rsidR="00BC486E">
              <w:rPr>
                <w:rFonts w:ascii="Calibri" w:eastAsia="Times New Roman" w:hAnsi="Calibri" w:cs="Calibri"/>
                <w:sz w:val="16"/>
                <w:szCs w:val="16"/>
                <w:lang w:eastAsia="fr-FR"/>
              </w:rPr>
              <w:t xml:space="preserve">aucune </w:t>
            </w:r>
            <w:r w:rsidR="009B0474" w:rsidRPr="00760930">
              <w:rPr>
                <w:rFonts w:ascii="Calibri" w:eastAsia="Times New Roman" w:hAnsi="Calibri" w:cs="Calibri"/>
                <w:sz w:val="16"/>
                <w:szCs w:val="16"/>
                <w:lang w:eastAsia="fr-FR"/>
              </w:rPr>
              <w:t>évidence</w:t>
            </w:r>
            <w:r w:rsidR="008672C8" w:rsidRPr="00760930">
              <w:rPr>
                <w:rFonts w:ascii="Calibri" w:eastAsia="Times New Roman" w:hAnsi="Calibri" w:cs="Calibri"/>
                <w:sz w:val="16"/>
                <w:szCs w:val="16"/>
                <w:lang w:eastAsia="fr-FR"/>
              </w:rPr>
              <w:t xml:space="preserve"> </w:t>
            </w:r>
            <w:r w:rsidR="0062492B">
              <w:rPr>
                <w:rFonts w:ascii="Calibri" w:eastAsia="Times New Roman" w:hAnsi="Calibri" w:cs="Calibri"/>
                <w:sz w:val="16"/>
                <w:szCs w:val="16"/>
                <w:lang w:eastAsia="fr-FR"/>
              </w:rPr>
              <w:t>au sujet d’</w:t>
            </w:r>
            <w:r w:rsidR="008672C8" w:rsidRPr="00760930">
              <w:rPr>
                <w:rFonts w:ascii="Calibri" w:eastAsia="Times New Roman" w:hAnsi="Calibri" w:cs="Calibri"/>
                <w:sz w:val="16"/>
                <w:szCs w:val="16"/>
                <w:lang w:eastAsia="fr-FR"/>
              </w:rPr>
              <w:t xml:space="preserve">une ou des entreprises qui </w:t>
            </w:r>
            <w:r w:rsidR="00BC486E">
              <w:rPr>
                <w:rFonts w:ascii="Calibri" w:eastAsia="Times New Roman" w:hAnsi="Calibri" w:cs="Calibri"/>
                <w:sz w:val="16"/>
                <w:szCs w:val="16"/>
                <w:lang w:eastAsia="fr-FR"/>
              </w:rPr>
              <w:t>auraient effectué des déclarations non divulguées</w:t>
            </w:r>
            <w:r w:rsidR="008672C8" w:rsidRPr="00760930">
              <w:rPr>
                <w:rFonts w:ascii="Calibri" w:eastAsia="Times New Roman" w:hAnsi="Calibri" w:cs="Calibri"/>
                <w:sz w:val="16"/>
                <w:szCs w:val="16"/>
                <w:lang w:eastAsia="fr-FR"/>
              </w:rPr>
              <w:t xml:space="preserve">. </w:t>
            </w:r>
            <w:r>
              <w:rPr>
                <w:rFonts w:ascii="Calibri" w:eastAsia="Times New Roman" w:hAnsi="Calibri" w:cs="Calibri"/>
                <w:sz w:val="16"/>
                <w:szCs w:val="16"/>
                <w:lang w:eastAsia="fr-FR"/>
              </w:rPr>
              <w:t xml:space="preserve"> </w:t>
            </w:r>
            <w:r w:rsidR="008672C8" w:rsidRPr="00760930">
              <w:rPr>
                <w:rFonts w:ascii="Calibri" w:eastAsia="Times New Roman" w:hAnsi="Calibri" w:cs="Calibri"/>
                <w:sz w:val="16"/>
                <w:szCs w:val="16"/>
                <w:lang w:eastAsia="fr-FR"/>
              </w:rPr>
              <w:t xml:space="preserve">       </w:t>
            </w:r>
            <w:r w:rsidR="008672C8" w:rsidRPr="00760930">
              <w:rPr>
                <w:rFonts w:ascii="Calibri" w:eastAsia="Times New Roman" w:hAnsi="Calibri" w:cs="Calibri"/>
                <w:sz w:val="16"/>
                <w:szCs w:val="16"/>
                <w:lang w:eastAsia="fr-FR"/>
              </w:rPr>
              <w:br/>
            </w:r>
          </w:p>
          <w:p w:rsidR="008672C8" w:rsidRPr="00760930" w:rsidRDefault="008672C8" w:rsidP="00BC486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FF0000"/>
                <w:sz w:val="16"/>
                <w:szCs w:val="16"/>
                <w:lang w:eastAsia="fr-FR"/>
              </w:rPr>
            </w:pPr>
            <w:r w:rsidRPr="00760930">
              <w:rPr>
                <w:rFonts w:ascii="Calibri" w:eastAsia="Times New Roman" w:hAnsi="Calibri" w:cs="Calibri"/>
                <w:sz w:val="16"/>
                <w:szCs w:val="16"/>
                <w:lang w:eastAsia="fr-FR"/>
              </w:rPr>
              <w:lastRenderedPageBreak/>
              <w:t xml:space="preserve">Au vu de tout ce qui </w:t>
            </w:r>
            <w:r w:rsidR="009B0474" w:rsidRPr="00760930">
              <w:rPr>
                <w:rFonts w:ascii="Calibri" w:eastAsia="Times New Roman" w:hAnsi="Calibri" w:cs="Calibri"/>
                <w:sz w:val="16"/>
                <w:szCs w:val="16"/>
                <w:lang w:eastAsia="fr-FR"/>
              </w:rPr>
              <w:t>précède</w:t>
            </w:r>
            <w:r w:rsidRPr="00760930">
              <w:rPr>
                <w:rFonts w:ascii="Calibri" w:eastAsia="Times New Roman" w:hAnsi="Calibri" w:cs="Calibri"/>
                <w:sz w:val="16"/>
                <w:szCs w:val="16"/>
                <w:lang w:eastAsia="fr-FR"/>
              </w:rPr>
              <w:t xml:space="preserve">, le Comité Exécutif est convaincu que tous les aspects de l'exigence ont été mis en </w:t>
            </w:r>
            <w:r w:rsidR="009B0474" w:rsidRPr="00760930">
              <w:rPr>
                <w:rFonts w:ascii="Calibri" w:eastAsia="Times New Roman" w:hAnsi="Calibri" w:cs="Calibri"/>
                <w:sz w:val="16"/>
                <w:szCs w:val="16"/>
                <w:lang w:eastAsia="fr-FR"/>
              </w:rPr>
              <w:t>œuvre</w:t>
            </w:r>
            <w:r w:rsidRPr="00760930">
              <w:rPr>
                <w:rFonts w:ascii="Calibri" w:eastAsia="Times New Roman" w:hAnsi="Calibri" w:cs="Calibri"/>
                <w:sz w:val="16"/>
                <w:szCs w:val="16"/>
                <w:lang w:eastAsia="fr-FR"/>
              </w:rPr>
              <w:t xml:space="preserve"> et que le niveau de </w:t>
            </w:r>
            <w:r w:rsidRPr="00257BC5">
              <w:rPr>
                <w:rFonts w:ascii="Calibri" w:eastAsia="Times New Roman" w:hAnsi="Calibri" w:cs="Calibri"/>
                <w:b/>
                <w:color w:val="0000FF"/>
                <w:sz w:val="16"/>
                <w:szCs w:val="16"/>
                <w:lang w:eastAsia="fr-FR"/>
              </w:rPr>
              <w:t xml:space="preserve">progrès est </w:t>
            </w:r>
            <w:r w:rsidRPr="00257BC5">
              <w:rPr>
                <w:rFonts w:ascii="Calibri" w:eastAsia="Times New Roman" w:hAnsi="Calibri" w:cs="Calibri"/>
                <w:b/>
                <w:bCs/>
                <w:color w:val="0000FF"/>
                <w:sz w:val="16"/>
                <w:szCs w:val="16"/>
                <w:lang w:eastAsia="fr-FR"/>
              </w:rPr>
              <w:t>satisfaisant</w:t>
            </w:r>
            <w:r w:rsidRPr="00760930">
              <w:rPr>
                <w:rFonts w:ascii="Calibri" w:eastAsia="Times New Roman" w:hAnsi="Calibri" w:cs="Calibri"/>
                <w:b/>
                <w:bCs/>
                <w:sz w:val="16"/>
                <w:szCs w:val="16"/>
                <w:lang w:eastAsia="fr-FR"/>
              </w:rPr>
              <w:t>.</w:t>
            </w:r>
          </w:p>
        </w:tc>
        <w:tc>
          <w:tcPr>
            <w:tcW w:w="977" w:type="dxa"/>
            <w:hideMark/>
          </w:tcPr>
          <w:p w:rsidR="008672C8" w:rsidRPr="009B0474"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FF"/>
                <w:sz w:val="16"/>
                <w:szCs w:val="16"/>
                <w:lang w:eastAsia="fr-FR"/>
              </w:rPr>
            </w:pPr>
            <w:r w:rsidRPr="009B0474">
              <w:rPr>
                <w:rFonts w:ascii="Calibri" w:eastAsia="Times New Roman" w:hAnsi="Calibri" w:cs="Calibri"/>
                <w:b/>
                <w:bCs/>
                <w:color w:val="0000FF"/>
                <w:sz w:val="16"/>
                <w:szCs w:val="16"/>
                <w:lang w:eastAsia="fr-FR"/>
              </w:rPr>
              <w:lastRenderedPageBreak/>
              <w:t>Progrès Satisfaisant</w:t>
            </w:r>
          </w:p>
        </w:tc>
      </w:tr>
      <w:tr w:rsidR="008672C8" w:rsidRPr="00760930" w:rsidTr="00966F60">
        <w:trPr>
          <w:trHeight w:val="467"/>
        </w:trPr>
        <w:tc>
          <w:tcPr>
            <w:cnfStyle w:val="001000000000" w:firstRow="0" w:lastRow="0" w:firstColumn="1" w:lastColumn="0" w:oddVBand="0" w:evenVBand="0" w:oddHBand="0" w:evenHBand="0" w:firstRowFirstColumn="0" w:firstRowLastColumn="0" w:lastRowFirstColumn="0" w:lastRowLastColumn="0"/>
            <w:tcW w:w="1165" w:type="dxa"/>
            <w:hideMark/>
          </w:tcPr>
          <w:p w:rsidR="008672C8" w:rsidRPr="00760930" w:rsidRDefault="008672C8" w:rsidP="008672C8">
            <w:pPr>
              <w:rPr>
                <w:rFonts w:ascii="Calibri" w:eastAsia="Times New Roman" w:hAnsi="Calibri" w:cs="Calibri"/>
                <w:b w:val="0"/>
                <w:bCs w:val="0"/>
                <w:color w:val="000000"/>
                <w:sz w:val="16"/>
                <w:szCs w:val="16"/>
                <w:lang w:eastAsia="fr-FR"/>
              </w:rPr>
            </w:pPr>
            <w:r w:rsidRPr="00760930">
              <w:rPr>
                <w:rFonts w:ascii="Calibri" w:eastAsia="Times New Roman" w:hAnsi="Calibri" w:cs="Calibri"/>
                <w:color w:val="000000"/>
                <w:sz w:val="16"/>
                <w:szCs w:val="16"/>
                <w:lang w:eastAsia="fr-FR"/>
              </w:rPr>
              <w:lastRenderedPageBreak/>
              <w:t>Dépenses quasi fiscales (6.2)</w:t>
            </w:r>
          </w:p>
        </w:tc>
        <w:tc>
          <w:tcPr>
            <w:tcW w:w="2716" w:type="dxa"/>
            <w:hideMark/>
          </w:tcPr>
          <w:p w:rsidR="008672C8" w:rsidRPr="00760930" w:rsidRDefault="008672C8" w:rsidP="00037D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D55F87">
              <w:rPr>
                <w:rFonts w:ascii="Calibri" w:eastAsia="Times New Roman" w:hAnsi="Calibri" w:cs="Calibri"/>
                <w:b/>
                <w:color w:val="000000"/>
                <w:sz w:val="16"/>
                <w:szCs w:val="16"/>
                <w:lang w:eastAsia="fr-FR"/>
              </w:rPr>
              <w:t>De la définition de la dépense quasi</w:t>
            </w:r>
            <w:r w:rsidR="00037D8A" w:rsidRPr="00D55F87">
              <w:rPr>
                <w:rFonts w:ascii="Calibri" w:eastAsia="Times New Roman" w:hAnsi="Calibri" w:cs="Calibri"/>
                <w:b/>
                <w:color w:val="000000"/>
                <w:sz w:val="16"/>
                <w:szCs w:val="16"/>
                <w:lang w:eastAsia="fr-FR"/>
              </w:rPr>
              <w:t>-fiscale</w:t>
            </w:r>
            <w:r w:rsidRPr="00760930">
              <w:rPr>
                <w:rFonts w:ascii="Calibri" w:eastAsia="Times New Roman" w:hAnsi="Calibri" w:cs="Calibri"/>
                <w:color w:val="000000"/>
                <w:sz w:val="16"/>
                <w:szCs w:val="16"/>
                <w:lang w:eastAsia="fr-FR"/>
              </w:rPr>
              <w:br/>
              <w:t xml:space="preserve">Certains éléments indiquent que l’ITIE </w:t>
            </w:r>
            <w:r w:rsidRPr="00760930">
              <w:rPr>
                <w:rFonts w:ascii="Calibri" w:eastAsia="Times New Roman" w:hAnsi="Calibri" w:cs="Calibri"/>
                <w:color w:val="000000"/>
                <w:sz w:val="16"/>
                <w:szCs w:val="16"/>
                <w:lang w:eastAsia="fr-FR"/>
              </w:rPr>
              <w:lastRenderedPageBreak/>
              <w:t>RDC a pris des mesures en vue d’améliorer la déclaration sur les dépenses quasi fiscales pour 2016, selon un examen des états financiers des entreprises d’État. Toutefois, l’on s’inquiète de la possibilité que les dépenses ad hoc des entreprises d’État qui ne sont pas consignées au budget national soient classées comme des dépenses quasi fiscales, comme l’ont souligné les parties prenantes consultées.</w:t>
            </w:r>
            <w:r w:rsidRPr="00760930">
              <w:rPr>
                <w:rFonts w:ascii="Calibri" w:eastAsia="Times New Roman" w:hAnsi="Calibri" w:cs="Calibri"/>
                <w:color w:val="000000"/>
                <w:sz w:val="16"/>
                <w:szCs w:val="16"/>
                <w:lang w:eastAsia="fr-FR"/>
              </w:rPr>
              <w:br/>
            </w:r>
            <w:r w:rsidRPr="00D55F87">
              <w:rPr>
                <w:rFonts w:ascii="Calibri" w:eastAsia="Times New Roman" w:hAnsi="Calibri" w:cs="Calibri"/>
                <w:b/>
                <w:i/>
                <w:color w:val="000000"/>
                <w:sz w:val="16"/>
                <w:szCs w:val="16"/>
                <w:lang w:eastAsia="fr-FR"/>
              </w:rPr>
              <w:t>L’évaluation initiale du Secrétariat international conclut que la RDC a réalisé des progrès inadéquats pour satisfaire à cette Exigence</w:t>
            </w:r>
            <w:r w:rsidRPr="00760930">
              <w:rPr>
                <w:rFonts w:ascii="Calibri" w:eastAsia="Times New Roman" w:hAnsi="Calibri" w:cs="Calibri"/>
                <w:color w:val="000000"/>
                <w:sz w:val="16"/>
                <w:szCs w:val="16"/>
                <w:lang w:eastAsia="fr-FR"/>
              </w:rPr>
              <w:t xml:space="preserve">. </w:t>
            </w:r>
          </w:p>
        </w:tc>
        <w:tc>
          <w:tcPr>
            <w:tcW w:w="1004"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 xml:space="preserve">Le validateur a approuvé </w:t>
            </w:r>
            <w:r w:rsidRPr="00760930">
              <w:rPr>
                <w:rFonts w:ascii="Calibri" w:eastAsia="Times New Roman" w:hAnsi="Calibri" w:cs="Calibri"/>
                <w:color w:val="000000"/>
                <w:sz w:val="16"/>
                <w:szCs w:val="16"/>
                <w:lang w:eastAsia="fr-FR"/>
              </w:rPr>
              <w:lastRenderedPageBreak/>
              <w:t xml:space="preserve">les conclusions du SI ainsi que le niveau de </w:t>
            </w:r>
            <w:r w:rsidRPr="007F7F67">
              <w:rPr>
                <w:rFonts w:ascii="Calibri" w:eastAsia="Times New Roman" w:hAnsi="Calibri" w:cs="Calibri"/>
                <w:b/>
                <w:color w:val="FF0000"/>
                <w:sz w:val="16"/>
                <w:szCs w:val="16"/>
                <w:lang w:eastAsia="fr-FR"/>
              </w:rPr>
              <w:t>progrès inadéquat</w:t>
            </w:r>
            <w:r w:rsidRPr="007F7F67">
              <w:rPr>
                <w:rFonts w:ascii="Calibri" w:eastAsia="Times New Roman" w:hAnsi="Calibri" w:cs="Calibri"/>
                <w:color w:val="FF0000"/>
                <w:sz w:val="16"/>
                <w:szCs w:val="16"/>
                <w:lang w:eastAsia="fr-FR"/>
              </w:rPr>
              <w:t xml:space="preserve"> </w:t>
            </w:r>
          </w:p>
        </w:tc>
        <w:tc>
          <w:tcPr>
            <w:tcW w:w="2072" w:type="dxa"/>
            <w:hideMark/>
          </w:tcPr>
          <w:p w:rsidR="00F207D0" w:rsidRDefault="00F207D0"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Pr>
                <w:rFonts w:ascii="Calibri" w:eastAsia="Times New Roman" w:hAnsi="Calibri" w:cs="Calibri"/>
                <w:color w:val="000000"/>
                <w:sz w:val="16"/>
                <w:szCs w:val="16"/>
                <w:lang w:eastAsia="fr-FR"/>
              </w:rPr>
              <w:lastRenderedPageBreak/>
              <w:t>Conformément à l’Exigence 6.2 :</w:t>
            </w:r>
            <w:r w:rsidR="008672C8" w:rsidRPr="00760930">
              <w:rPr>
                <w:rFonts w:ascii="Calibri" w:eastAsia="Times New Roman" w:hAnsi="Calibri" w:cs="Calibri"/>
                <w:color w:val="000000"/>
                <w:sz w:val="16"/>
                <w:szCs w:val="16"/>
                <w:lang w:eastAsia="fr-FR"/>
              </w:rPr>
              <w:t xml:space="preserve"> </w:t>
            </w:r>
          </w:p>
          <w:p w:rsidR="00F207D0" w:rsidRDefault="008672C8" w:rsidP="00F207D0">
            <w:pPr>
              <w:pStyle w:val="Paragraphedeliste"/>
              <w:numPr>
                <w:ilvl w:val="0"/>
                <w:numId w:val="13"/>
              </w:numPr>
              <w:tabs>
                <w:tab w:val="left" w:pos="182"/>
              </w:tabs>
              <w:ind w:left="0" w:hanging="3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lastRenderedPageBreak/>
              <w:t>la RDC est tenue de divulguer les dépenses quasi fiscales lorsque la participation de l’État dans le secteur extractif génère des paiements significatifs en revenus.</w:t>
            </w:r>
          </w:p>
          <w:p w:rsidR="008672C8" w:rsidRPr="00F207D0" w:rsidRDefault="008672C8" w:rsidP="00F207D0">
            <w:pPr>
              <w:pStyle w:val="Paragraphedeliste"/>
              <w:numPr>
                <w:ilvl w:val="0"/>
                <w:numId w:val="13"/>
              </w:numPr>
              <w:tabs>
                <w:tab w:val="left" w:pos="182"/>
              </w:tabs>
              <w:ind w:left="0" w:hanging="3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F207D0">
              <w:rPr>
                <w:rFonts w:ascii="Calibri" w:eastAsia="Times New Roman" w:hAnsi="Calibri" w:cs="Calibri"/>
                <w:color w:val="000000"/>
                <w:sz w:val="16"/>
                <w:szCs w:val="16"/>
                <w:lang w:eastAsia="fr-FR"/>
              </w:rPr>
              <w:t xml:space="preserve"> La RDC devra assurer des consultations étroites avec les entreprises d’État et le ministère du Portefeuille afin de garantir une déclaration ITIE exhaustive de ces dépenses et de mettre en place un processus de déclaration visant à parvenir à un niveau de transparence comparable à celui des autres paiements et flux de revenus, y compris les filiales et les opérations conjointes.</w:t>
            </w:r>
          </w:p>
        </w:tc>
        <w:tc>
          <w:tcPr>
            <w:tcW w:w="1617" w:type="dxa"/>
            <w:hideMark/>
          </w:tcPr>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lastRenderedPageBreak/>
              <w:t>Pas d'accord avec le validateur</w:t>
            </w:r>
          </w:p>
        </w:tc>
        <w:tc>
          <w:tcPr>
            <w:tcW w:w="5118" w:type="dxa"/>
            <w:hideMark/>
          </w:tcPr>
          <w:p w:rsidR="00037D8A" w:rsidRPr="00037D8A"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6"/>
                <w:szCs w:val="6"/>
                <w:lang w:eastAsia="fr-FR"/>
              </w:rPr>
            </w:pPr>
            <w:r w:rsidRPr="00760930">
              <w:rPr>
                <w:rFonts w:ascii="Calibri" w:eastAsia="Times New Roman" w:hAnsi="Calibri" w:cs="Calibri"/>
                <w:color w:val="000000"/>
                <w:sz w:val="16"/>
                <w:szCs w:val="16"/>
                <w:lang w:eastAsia="fr-FR"/>
              </w:rPr>
              <w:t xml:space="preserve">Le Comité Exécutif a pris des mesures pour assurer une pleine divulgation des dépenses quasi-fiscales comparable à d'autres flux. Un processus de déclaration est suivi depuis le rapport 2014, </w:t>
            </w:r>
            <w:r w:rsidR="00037D8A" w:rsidRPr="00760930">
              <w:rPr>
                <w:rFonts w:ascii="Calibri" w:eastAsia="Times New Roman" w:hAnsi="Calibri" w:cs="Calibri"/>
                <w:color w:val="000000"/>
                <w:sz w:val="16"/>
                <w:szCs w:val="16"/>
                <w:lang w:eastAsia="fr-FR"/>
              </w:rPr>
              <w:t>matérialisé</w:t>
            </w:r>
            <w:r w:rsidRPr="00760930">
              <w:rPr>
                <w:rFonts w:ascii="Calibri" w:eastAsia="Times New Roman" w:hAnsi="Calibri" w:cs="Calibri"/>
                <w:color w:val="000000"/>
                <w:sz w:val="16"/>
                <w:szCs w:val="16"/>
                <w:lang w:eastAsia="fr-FR"/>
              </w:rPr>
              <w:t xml:space="preserve"> par un formulaire </w:t>
            </w:r>
            <w:r w:rsidRPr="00760930">
              <w:rPr>
                <w:rFonts w:ascii="Calibri" w:eastAsia="Times New Roman" w:hAnsi="Calibri" w:cs="Calibri"/>
                <w:color w:val="000000"/>
                <w:sz w:val="16"/>
                <w:szCs w:val="16"/>
                <w:lang w:eastAsia="fr-FR"/>
              </w:rPr>
              <w:lastRenderedPageBreak/>
              <w:t xml:space="preserve">de déclaration envoyé régulièrement aux EP qui le complètent et le retournent avec mention néant. Les formulaires de déclarations des EP sont disponibles dans le système. </w:t>
            </w:r>
            <w:r w:rsidRPr="00760930">
              <w:rPr>
                <w:rFonts w:ascii="Calibri" w:eastAsia="Times New Roman" w:hAnsi="Calibri" w:cs="Calibri"/>
                <w:color w:val="000000"/>
                <w:sz w:val="16"/>
                <w:szCs w:val="16"/>
                <w:lang w:eastAsia="fr-FR"/>
              </w:rPr>
              <w:br/>
            </w:r>
            <w:r w:rsidR="00037D8A" w:rsidRPr="00760930">
              <w:rPr>
                <w:rFonts w:ascii="Calibri" w:eastAsia="Times New Roman" w:hAnsi="Calibri" w:cs="Calibri"/>
                <w:color w:val="000000"/>
                <w:sz w:val="16"/>
                <w:szCs w:val="16"/>
                <w:lang w:eastAsia="fr-FR"/>
              </w:rPr>
              <w:t>À</w:t>
            </w:r>
            <w:r w:rsidRPr="00760930">
              <w:rPr>
                <w:rFonts w:ascii="Calibri" w:eastAsia="Times New Roman" w:hAnsi="Calibri" w:cs="Calibri"/>
                <w:color w:val="000000"/>
                <w:sz w:val="16"/>
                <w:szCs w:val="16"/>
                <w:lang w:eastAsia="fr-FR"/>
              </w:rPr>
              <w:t xml:space="preserve"> l'analyse, l'on comprend aisément que la situation financière difficile des EP ne leur permet pas d'engager ces genres de dépenses. </w:t>
            </w:r>
            <w:r w:rsidRPr="00760930">
              <w:rPr>
                <w:rFonts w:ascii="Calibri" w:eastAsia="Times New Roman" w:hAnsi="Calibri" w:cs="Calibri"/>
                <w:color w:val="000000"/>
                <w:sz w:val="16"/>
                <w:szCs w:val="16"/>
                <w:lang w:eastAsia="fr-FR"/>
              </w:rPr>
              <w:br/>
              <w:t xml:space="preserve">En effet, pour s'en </w:t>
            </w:r>
            <w:r w:rsidR="00037D8A" w:rsidRPr="00760930">
              <w:rPr>
                <w:rFonts w:ascii="Calibri" w:eastAsia="Times New Roman" w:hAnsi="Calibri" w:cs="Calibri"/>
                <w:color w:val="000000"/>
                <w:sz w:val="16"/>
                <w:szCs w:val="16"/>
                <w:lang w:eastAsia="fr-FR"/>
              </w:rPr>
              <w:t>convaincre</w:t>
            </w:r>
            <w:r w:rsidRPr="00760930">
              <w:rPr>
                <w:rFonts w:ascii="Calibri" w:eastAsia="Times New Roman" w:hAnsi="Calibri" w:cs="Calibri"/>
                <w:color w:val="000000"/>
                <w:sz w:val="16"/>
                <w:szCs w:val="16"/>
                <w:lang w:eastAsia="fr-FR"/>
              </w:rPr>
              <w:t xml:space="preserve">, le Comité Exécutif, avec le soutien du Secrétariat international a procédé, par le truchement de deux consultants indépendants, à la revue des états financiers des EP. Cette revue a examiné aussi la  question des dépenses quasi-fiscales de 9 EP du périmètre. Le </w:t>
            </w:r>
            <w:r w:rsidR="00037D8A" w:rsidRPr="00760930">
              <w:rPr>
                <w:rFonts w:ascii="Calibri" w:eastAsia="Times New Roman" w:hAnsi="Calibri" w:cs="Calibri"/>
                <w:color w:val="000000"/>
                <w:sz w:val="16"/>
                <w:szCs w:val="16"/>
                <w:lang w:eastAsia="fr-FR"/>
              </w:rPr>
              <w:t>résultat</w:t>
            </w:r>
            <w:r w:rsidRPr="00760930">
              <w:rPr>
                <w:rFonts w:ascii="Calibri" w:eastAsia="Times New Roman" w:hAnsi="Calibri" w:cs="Calibri"/>
                <w:color w:val="000000"/>
                <w:sz w:val="16"/>
                <w:szCs w:val="16"/>
                <w:lang w:eastAsia="fr-FR"/>
              </w:rPr>
              <w:t xml:space="preserve"> a indi</w:t>
            </w:r>
            <w:r w:rsidR="00037D8A">
              <w:rPr>
                <w:rFonts w:ascii="Calibri" w:eastAsia="Times New Roman" w:hAnsi="Calibri" w:cs="Calibri"/>
                <w:color w:val="000000"/>
                <w:sz w:val="16"/>
                <w:szCs w:val="16"/>
                <w:lang w:eastAsia="fr-FR"/>
              </w:rPr>
              <w:t>qué qu'aucune EP n'a engagé ces dépenses.</w:t>
            </w:r>
            <w:r w:rsidR="00037D8A">
              <w:rPr>
                <w:rFonts w:ascii="Calibri" w:eastAsia="Times New Roman" w:hAnsi="Calibri" w:cs="Calibri"/>
                <w:color w:val="000000"/>
                <w:sz w:val="16"/>
                <w:szCs w:val="16"/>
                <w:lang w:eastAsia="fr-FR"/>
              </w:rPr>
              <w:br/>
            </w:r>
          </w:p>
          <w:p w:rsidR="008672C8" w:rsidRPr="00760930"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fr-FR"/>
              </w:rPr>
            </w:pPr>
            <w:r w:rsidRPr="00760930">
              <w:rPr>
                <w:rFonts w:ascii="Calibri" w:eastAsia="Times New Roman" w:hAnsi="Calibri" w:cs="Calibri"/>
                <w:color w:val="000000"/>
                <w:sz w:val="16"/>
                <w:szCs w:val="16"/>
                <w:lang w:eastAsia="fr-FR"/>
              </w:rPr>
              <w:t xml:space="preserve">Pour étayer son argument, le Secrétariat International dit qu'il croit comprendre qu'il existe au moins trois catégories des dépenses que l'on pourrait considérer comme dépenses quasi-fiscales :  1) les paiements sociaux qui étaient approuvés par le Conseil d’administration de l’entreprise d’État ; 2) les paiements discrétionnaires pour l’exécution des fonctions du Gouvernement qui ne faisaient pas partie du mandat de l’entreprise d’État ; 3) les demandes ad hoc du Gouvernement relatives à l’engagement des dépenses pour des biens et services publics, sans remboursement provenant du budget national. </w:t>
            </w:r>
            <w:r w:rsidRPr="00760930">
              <w:rPr>
                <w:rFonts w:ascii="Calibri" w:eastAsia="Times New Roman" w:hAnsi="Calibri" w:cs="Calibri"/>
                <w:color w:val="000000"/>
                <w:sz w:val="16"/>
                <w:szCs w:val="16"/>
                <w:lang w:eastAsia="fr-FR"/>
              </w:rPr>
              <w:br/>
              <w:t>Tout en admettant que les deux dernières catégories rentreraient dans les dépenses quasi-fiscales, le C.E, s'appuyant sur les déclarations des EP et sur les conclusions de la revue de leurs  états financiers, n'a aucune évidence pour corroborer les considérations du Secrétariat International approuvées par le Validateur.</w:t>
            </w:r>
            <w:r w:rsidRPr="00760930">
              <w:rPr>
                <w:rFonts w:ascii="Calibri" w:eastAsia="Times New Roman" w:hAnsi="Calibri" w:cs="Calibri"/>
                <w:color w:val="000000"/>
                <w:sz w:val="16"/>
                <w:szCs w:val="16"/>
                <w:lang w:eastAsia="fr-FR"/>
              </w:rPr>
              <w:br/>
              <w:t xml:space="preserve">Le Comité Exécutif observe que, contrairement aux autres dispositions, le Secrétariat International et le Validateur n'ont pas suffisamment motivé le fondement du progrès inadéquat. Faute d'évidences, les inquiétudes du Secrétariat International et du Validateur ne peuvent conduire à conclure que la RDC a accompli des progrès inadéquats dans l'accomplissement de cette exigence. </w:t>
            </w:r>
            <w:r w:rsidRPr="00760930">
              <w:rPr>
                <w:rFonts w:ascii="Calibri" w:eastAsia="Times New Roman" w:hAnsi="Calibri" w:cs="Calibri"/>
                <w:color w:val="000000"/>
                <w:sz w:val="16"/>
                <w:szCs w:val="16"/>
                <w:lang w:eastAsia="fr-FR"/>
              </w:rPr>
              <w:br/>
              <w:t xml:space="preserve">Au sujet de l'absence de définition adaptée de la dépense quasi-fiscale, d'importants efforts ont été déployés par le C.E pour convenir avec les parties prenantes d'une définition adaptée. </w:t>
            </w:r>
            <w:r w:rsidRPr="00760930">
              <w:rPr>
                <w:rFonts w:ascii="Calibri" w:eastAsia="Times New Roman" w:hAnsi="Calibri" w:cs="Calibri"/>
                <w:color w:val="FF0000"/>
                <w:sz w:val="16"/>
                <w:szCs w:val="16"/>
                <w:lang w:eastAsia="fr-FR"/>
              </w:rPr>
              <w:t xml:space="preserve"> </w:t>
            </w:r>
            <w:r w:rsidRPr="00760930">
              <w:rPr>
                <w:rFonts w:ascii="Calibri" w:eastAsia="Times New Roman" w:hAnsi="Calibri" w:cs="Calibri"/>
                <w:color w:val="FF0000"/>
                <w:sz w:val="16"/>
                <w:szCs w:val="16"/>
                <w:lang w:eastAsia="fr-FR"/>
              </w:rPr>
              <w:br/>
            </w:r>
            <w:r w:rsidRPr="00760930">
              <w:rPr>
                <w:rFonts w:ascii="Calibri" w:eastAsia="Times New Roman" w:hAnsi="Calibri" w:cs="Calibri"/>
                <w:color w:val="000000"/>
                <w:sz w:val="16"/>
                <w:szCs w:val="16"/>
                <w:lang w:eastAsia="fr-FR"/>
              </w:rPr>
              <w:t xml:space="preserve">Bien que la définition adaptée ne soit pas une exigence de la Norme (puisqu'elle en contient une),   pour </w:t>
            </w:r>
            <w:r w:rsidR="00037D8A" w:rsidRPr="00760930">
              <w:rPr>
                <w:rFonts w:ascii="Calibri" w:eastAsia="Times New Roman" w:hAnsi="Calibri" w:cs="Calibri"/>
                <w:color w:val="000000"/>
                <w:sz w:val="16"/>
                <w:szCs w:val="16"/>
                <w:lang w:eastAsia="fr-FR"/>
              </w:rPr>
              <w:t>permettre</w:t>
            </w:r>
            <w:r w:rsidRPr="00760930">
              <w:rPr>
                <w:rFonts w:ascii="Calibri" w:eastAsia="Times New Roman" w:hAnsi="Calibri" w:cs="Calibri"/>
                <w:color w:val="000000"/>
                <w:sz w:val="16"/>
                <w:szCs w:val="16"/>
                <w:lang w:eastAsia="fr-FR"/>
              </w:rPr>
              <w:t xml:space="preserve"> une meilleure compréhension, les parties prenantes ont tenu deux réunions les 26 avril et 26 mai 2019, respectivement à Lubumbashi et à Kinshasa,  pour convenir d'une définition de la dépense quasi-fiscale. </w:t>
            </w:r>
            <w:r w:rsidRPr="00760930">
              <w:rPr>
                <w:rFonts w:ascii="Calibri" w:eastAsia="Times New Roman" w:hAnsi="Calibri" w:cs="Calibri"/>
                <w:color w:val="FF0000"/>
                <w:sz w:val="16"/>
                <w:szCs w:val="16"/>
                <w:lang w:eastAsia="fr-FR"/>
              </w:rPr>
              <w:br/>
            </w:r>
            <w:r w:rsidRPr="00760930">
              <w:rPr>
                <w:rFonts w:ascii="Calibri" w:eastAsia="Times New Roman" w:hAnsi="Calibri" w:cs="Calibri"/>
                <w:color w:val="000000"/>
                <w:sz w:val="16"/>
                <w:szCs w:val="16"/>
                <w:lang w:eastAsia="fr-FR"/>
              </w:rPr>
              <w:t xml:space="preserve">De ce qui précède, le Comité </w:t>
            </w:r>
            <w:r w:rsidR="00037D8A" w:rsidRPr="00760930">
              <w:rPr>
                <w:rFonts w:ascii="Calibri" w:eastAsia="Times New Roman" w:hAnsi="Calibri" w:cs="Calibri"/>
                <w:color w:val="000000"/>
                <w:sz w:val="16"/>
                <w:szCs w:val="16"/>
                <w:lang w:eastAsia="fr-FR"/>
              </w:rPr>
              <w:t>Exécutif</w:t>
            </w:r>
            <w:r w:rsidRPr="00760930">
              <w:rPr>
                <w:rFonts w:ascii="Calibri" w:eastAsia="Times New Roman" w:hAnsi="Calibri" w:cs="Calibri"/>
                <w:color w:val="000000"/>
                <w:sz w:val="16"/>
                <w:szCs w:val="16"/>
                <w:lang w:eastAsia="fr-FR"/>
              </w:rPr>
              <w:t xml:space="preserve"> est convaincu que tous les aspects de l'exigence ont été rencontrés. </w:t>
            </w:r>
            <w:r w:rsidRPr="00760930">
              <w:rPr>
                <w:rFonts w:ascii="Calibri" w:eastAsia="Times New Roman" w:hAnsi="Calibri" w:cs="Calibri"/>
                <w:color w:val="000000"/>
                <w:sz w:val="16"/>
                <w:szCs w:val="16"/>
                <w:lang w:eastAsia="fr-FR"/>
              </w:rPr>
              <w:br/>
            </w:r>
            <w:r w:rsidRPr="00760930">
              <w:rPr>
                <w:rFonts w:ascii="Calibri" w:eastAsia="Times New Roman" w:hAnsi="Calibri" w:cs="Calibri"/>
                <w:color w:val="000000"/>
                <w:sz w:val="16"/>
                <w:szCs w:val="16"/>
                <w:lang w:eastAsia="fr-FR"/>
              </w:rPr>
              <w:lastRenderedPageBreak/>
              <w:t xml:space="preserve">Par conséquent, il estime que  </w:t>
            </w:r>
            <w:r w:rsidRPr="00037D8A">
              <w:rPr>
                <w:rFonts w:ascii="Calibri" w:eastAsia="Times New Roman" w:hAnsi="Calibri" w:cs="Calibri"/>
                <w:b/>
                <w:bCs/>
                <w:color w:val="0000FF"/>
                <w:sz w:val="16"/>
                <w:szCs w:val="16"/>
                <w:lang w:eastAsia="fr-FR"/>
              </w:rPr>
              <w:t xml:space="preserve">des progrès satisfaisants </w:t>
            </w:r>
            <w:r w:rsidRPr="00760930">
              <w:rPr>
                <w:rFonts w:ascii="Calibri" w:eastAsia="Times New Roman" w:hAnsi="Calibri" w:cs="Calibri"/>
                <w:color w:val="000000"/>
                <w:sz w:val="16"/>
                <w:szCs w:val="16"/>
                <w:lang w:eastAsia="fr-FR"/>
              </w:rPr>
              <w:t xml:space="preserve">ont été  accomplis pour cette exigence. </w:t>
            </w:r>
          </w:p>
        </w:tc>
        <w:tc>
          <w:tcPr>
            <w:tcW w:w="977" w:type="dxa"/>
            <w:hideMark/>
          </w:tcPr>
          <w:p w:rsidR="008672C8" w:rsidRPr="00037D8A" w:rsidRDefault="008672C8" w:rsidP="008672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FF"/>
                <w:sz w:val="16"/>
                <w:szCs w:val="16"/>
                <w:lang w:eastAsia="fr-FR"/>
              </w:rPr>
            </w:pPr>
            <w:r w:rsidRPr="00037D8A">
              <w:rPr>
                <w:rFonts w:ascii="Calibri" w:eastAsia="Times New Roman" w:hAnsi="Calibri" w:cs="Calibri"/>
                <w:b/>
                <w:bCs/>
                <w:color w:val="0000FF"/>
                <w:sz w:val="16"/>
                <w:szCs w:val="16"/>
                <w:lang w:eastAsia="fr-FR"/>
              </w:rPr>
              <w:lastRenderedPageBreak/>
              <w:t>Progrès Satisfaisant</w:t>
            </w:r>
          </w:p>
        </w:tc>
      </w:tr>
    </w:tbl>
    <w:p w:rsidR="0064052B" w:rsidRDefault="0064052B" w:rsidP="0064052B">
      <w:pPr>
        <w:jc w:val="center"/>
      </w:pPr>
    </w:p>
    <w:sectPr w:rsidR="0064052B" w:rsidSect="00D96B2E">
      <w:headerReference w:type="default" r:id="rId16"/>
      <w:headerReference w:type="first" r:id="rId17"/>
      <w:pgSz w:w="16838" w:h="11906" w:orient="landscape"/>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E70" w:rsidRDefault="00616E70" w:rsidP="00A542BE">
      <w:pPr>
        <w:spacing w:after="0" w:line="240" w:lineRule="auto"/>
      </w:pPr>
      <w:r>
        <w:separator/>
      </w:r>
    </w:p>
  </w:endnote>
  <w:endnote w:type="continuationSeparator" w:id="0">
    <w:p w:rsidR="00616E70" w:rsidRDefault="00616E70" w:rsidP="00A5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E70" w:rsidRDefault="00616E70" w:rsidP="00A542BE">
      <w:pPr>
        <w:spacing w:after="0" w:line="240" w:lineRule="auto"/>
      </w:pPr>
      <w:r>
        <w:separator/>
      </w:r>
    </w:p>
  </w:footnote>
  <w:footnote w:type="continuationSeparator" w:id="0">
    <w:p w:rsidR="00616E70" w:rsidRDefault="00616E70" w:rsidP="00A542BE">
      <w:pPr>
        <w:spacing w:after="0" w:line="240" w:lineRule="auto"/>
      </w:pPr>
      <w:r>
        <w:continuationSeparator/>
      </w:r>
    </w:p>
  </w:footnote>
  <w:footnote w:id="1">
    <w:p w:rsidR="00E63A4C" w:rsidRDefault="00E63A4C">
      <w:pPr>
        <w:pStyle w:val="Notedebasdepage"/>
      </w:pPr>
      <w:r>
        <w:rPr>
          <w:rStyle w:val="Appelnotedebasdep"/>
        </w:rPr>
        <w:footnoteRef/>
      </w:r>
      <w:r>
        <w:t xml:space="preserve"> </w:t>
      </w:r>
      <w:r w:rsidRPr="00A66994">
        <w:rPr>
          <w:rFonts w:ascii="Calibri" w:hAnsi="Calibri" w:cs="Calibri"/>
          <w:sz w:val="16"/>
          <w:szCs w:val="16"/>
        </w:rPr>
        <w:t>Mode de désignation, nomination</w:t>
      </w:r>
      <w:r>
        <w:t xml:space="preserve"> </w:t>
      </w:r>
      <w:r w:rsidRPr="00A66994">
        <w:rPr>
          <w:rFonts w:ascii="Calibri" w:hAnsi="Calibri" w:cs="Calibri"/>
          <w:sz w:val="16"/>
          <w:szCs w:val="16"/>
        </w:rPr>
        <w:t>et durée de mandat des membres du Collège des entreprises</w:t>
      </w:r>
      <w:r>
        <w:rPr>
          <w:rFonts w:ascii="Calibri" w:hAnsi="Calibri" w:cs="Calibri"/>
          <w:sz w:val="16"/>
          <w:szCs w:val="16"/>
        </w:rPr>
        <w:t xml:space="preserve">, </w:t>
      </w:r>
      <w:hyperlink r:id="rId1" w:history="1">
        <w:r w:rsidRPr="00B82F6D">
          <w:rPr>
            <w:rStyle w:val="Lienhypertexte"/>
            <w:rFonts w:ascii="Calibri" w:hAnsi="Calibri" w:cs="Calibri"/>
            <w:sz w:val="16"/>
            <w:szCs w:val="16"/>
          </w:rPr>
          <w:t xml:space="preserve">document signé par Simon </w:t>
        </w:r>
        <w:proofErr w:type="spellStart"/>
        <w:r w:rsidRPr="00B82F6D">
          <w:rPr>
            <w:rStyle w:val="Lienhypertexte"/>
            <w:rFonts w:ascii="Calibri" w:hAnsi="Calibri" w:cs="Calibri"/>
            <w:sz w:val="16"/>
            <w:szCs w:val="16"/>
          </w:rPr>
          <w:t>Tumawaku</w:t>
        </w:r>
        <w:proofErr w:type="spellEnd"/>
        <w:r w:rsidRPr="00B82F6D">
          <w:rPr>
            <w:rStyle w:val="Lienhypertexte"/>
            <w:rFonts w:ascii="Calibri" w:hAnsi="Calibri" w:cs="Calibri"/>
            <w:sz w:val="16"/>
            <w:szCs w:val="16"/>
          </w:rPr>
          <w:t xml:space="preserve"> le 27/09/2018</w:t>
        </w:r>
      </w:hyperlink>
      <w:r>
        <w:t xml:space="preserve"> </w:t>
      </w:r>
    </w:p>
  </w:footnote>
  <w:footnote w:id="2">
    <w:p w:rsidR="00E63A4C" w:rsidRPr="00B82F6D" w:rsidRDefault="00E63A4C">
      <w:pPr>
        <w:pStyle w:val="Notedebasdepage"/>
        <w:rPr>
          <w:rFonts w:ascii="Calibri" w:hAnsi="Calibri" w:cs="Calibri"/>
          <w:sz w:val="16"/>
          <w:szCs w:val="16"/>
        </w:rPr>
      </w:pPr>
      <w:r>
        <w:rPr>
          <w:rStyle w:val="Appelnotedebasdep"/>
        </w:rPr>
        <w:footnoteRef/>
      </w:r>
      <w:r>
        <w:t xml:space="preserve"> </w:t>
      </w:r>
      <w:r w:rsidRPr="00B82F6D">
        <w:rPr>
          <w:rFonts w:ascii="Calibri" w:hAnsi="Calibri" w:cs="Calibri"/>
          <w:sz w:val="16"/>
          <w:szCs w:val="16"/>
        </w:rPr>
        <w:t xml:space="preserve">Description du processus de révision des textes de gouvernance et des pratiques observées dans la désignation et </w:t>
      </w:r>
      <w:r>
        <w:rPr>
          <w:rFonts w:ascii="Calibri" w:hAnsi="Calibri" w:cs="Calibri"/>
          <w:sz w:val="16"/>
          <w:szCs w:val="16"/>
        </w:rPr>
        <w:t xml:space="preserve">le </w:t>
      </w:r>
      <w:r w:rsidRPr="00B82F6D">
        <w:rPr>
          <w:rFonts w:ascii="Calibri" w:hAnsi="Calibri" w:cs="Calibri"/>
          <w:sz w:val="16"/>
          <w:szCs w:val="16"/>
        </w:rPr>
        <w:t>remplacement des délégués des Collèges au C.E, document adopté</w:t>
      </w:r>
      <w:r>
        <w:t xml:space="preserve"> </w:t>
      </w:r>
      <w:r w:rsidRPr="00B82F6D">
        <w:rPr>
          <w:rFonts w:ascii="Calibri" w:hAnsi="Calibri" w:cs="Calibri"/>
          <w:sz w:val="16"/>
          <w:szCs w:val="16"/>
        </w:rPr>
        <w:t>par le GTT le 28/09/2018</w:t>
      </w:r>
      <w:r>
        <w:rPr>
          <w:rFonts w:ascii="Calibri" w:hAnsi="Calibri" w:cs="Calibri"/>
          <w:sz w:val="16"/>
          <w:szCs w:val="16"/>
        </w:rPr>
        <w:t xml:space="preserve"> en </w:t>
      </w:r>
      <w:hyperlink r:id="rId2" w:history="1">
        <w:r w:rsidRPr="00B82F6D">
          <w:rPr>
            <w:rStyle w:val="Lienhypertexte"/>
            <w:rFonts w:ascii="Calibri" w:hAnsi="Calibri" w:cs="Calibri"/>
            <w:sz w:val="16"/>
            <w:szCs w:val="16"/>
          </w:rPr>
          <w:t>vertu du PV du C.E du 26/09/2018</w:t>
        </w:r>
      </w:hyperlink>
      <w:r>
        <w:rPr>
          <w:rFonts w:ascii="Calibri" w:hAnsi="Calibri" w:cs="Calibri"/>
          <w:sz w:val="16"/>
          <w:szCs w:val="16"/>
        </w:rPr>
        <w:t xml:space="preserve">  </w:t>
      </w:r>
    </w:p>
  </w:footnote>
  <w:footnote w:id="3">
    <w:p w:rsidR="00E63A4C" w:rsidRDefault="00E63A4C">
      <w:pPr>
        <w:pStyle w:val="Notedebasdepage"/>
      </w:pPr>
      <w:r>
        <w:rPr>
          <w:rStyle w:val="Appelnotedebasdep"/>
        </w:rPr>
        <w:footnoteRef/>
      </w:r>
      <w:r>
        <w:t xml:space="preserve"> </w:t>
      </w:r>
      <w:r w:rsidRPr="008C2D39">
        <w:rPr>
          <w:rFonts w:ascii="Calibri" w:hAnsi="Calibri" w:cs="Calibri"/>
          <w:sz w:val="16"/>
          <w:szCs w:val="16"/>
        </w:rPr>
        <w:t>http://www.itierdc.net/wp-content/uploads/2016/02/pv-du-CE-du-15-01-2014.pdf</w:t>
      </w:r>
    </w:p>
  </w:footnote>
  <w:footnote w:id="4">
    <w:p w:rsidR="00E63A4C" w:rsidRDefault="00E63A4C">
      <w:pPr>
        <w:pStyle w:val="Notedebasdepage"/>
      </w:pPr>
      <w:r>
        <w:rPr>
          <w:rStyle w:val="Appelnotedebasdep"/>
        </w:rPr>
        <w:footnoteRef/>
      </w:r>
      <w:r>
        <w:t xml:space="preserve"> </w:t>
      </w:r>
      <w:r w:rsidRPr="003F1947">
        <w:rPr>
          <w:rFonts w:ascii="Calibri" w:hAnsi="Calibri" w:cs="Calibri"/>
          <w:sz w:val="16"/>
          <w:szCs w:val="16"/>
        </w:rPr>
        <w:t>https://drive.google.com/file/d/0B1C1Aj5TqAgvYnJidjBMTXRSM0k/view</w:t>
      </w:r>
    </w:p>
  </w:footnote>
  <w:footnote w:id="5">
    <w:p w:rsidR="00E63A4C" w:rsidRDefault="00E63A4C">
      <w:pPr>
        <w:pStyle w:val="Notedebasdepage"/>
      </w:pPr>
      <w:r>
        <w:rPr>
          <w:rStyle w:val="Appelnotedebasdep"/>
        </w:rPr>
        <w:footnoteRef/>
      </w:r>
      <w:r>
        <w:t xml:space="preserve"> </w:t>
      </w:r>
      <w:r w:rsidRPr="00226A65">
        <w:rPr>
          <w:rFonts w:ascii="Calibri" w:hAnsi="Calibri" w:cs="Calibri"/>
          <w:sz w:val="16"/>
          <w:szCs w:val="16"/>
        </w:rPr>
        <w:t>https://drive.google.com/file/d/1h8CAO7P1hOZ1goVrKL-HMYSYN29rbLWW/view</w:t>
      </w:r>
    </w:p>
  </w:footnote>
  <w:footnote w:id="6">
    <w:p w:rsidR="00E63A4C" w:rsidRDefault="00E63A4C">
      <w:pPr>
        <w:pStyle w:val="Notedebasdepage"/>
      </w:pPr>
      <w:r>
        <w:rPr>
          <w:rStyle w:val="Appelnotedebasdep"/>
        </w:rPr>
        <w:footnoteRef/>
      </w:r>
      <w:r>
        <w:t xml:space="preserve"> </w:t>
      </w:r>
      <w:r w:rsidRPr="001E5CC4">
        <w:rPr>
          <w:rFonts w:ascii="Calibri" w:hAnsi="Calibri" w:cs="Calibri"/>
          <w:sz w:val="16"/>
          <w:szCs w:val="16"/>
        </w:rPr>
        <w:t>https://drive.google.com/file/d/16VAkR4oFVE-FvCZ6Nhmr2wODWl-_8G8S/view</w:t>
      </w:r>
    </w:p>
  </w:footnote>
  <w:footnote w:id="7">
    <w:p w:rsidR="00E63A4C" w:rsidRPr="00A4084A" w:rsidRDefault="00E63A4C">
      <w:pPr>
        <w:pStyle w:val="Notedebasdepage"/>
        <w:rPr>
          <w:rStyle w:val="Lienhypertexte"/>
          <w:rFonts w:ascii="Calibri" w:hAnsi="Calibri" w:cs="Calibri"/>
          <w:sz w:val="16"/>
          <w:szCs w:val="16"/>
        </w:rPr>
      </w:pPr>
      <w:r>
        <w:rPr>
          <w:rStyle w:val="Appelnotedebasdep"/>
        </w:rPr>
        <w:footnoteRef/>
      </w:r>
      <w:r>
        <w:t xml:space="preserve"> </w:t>
      </w:r>
      <w:hyperlink r:id="rId3" w:history="1">
        <w:r w:rsidRPr="00A4084A">
          <w:rPr>
            <w:rStyle w:val="Lienhypertexte"/>
            <w:rFonts w:ascii="Calibri" w:hAnsi="Calibri" w:cs="Calibri"/>
            <w:sz w:val="16"/>
            <w:szCs w:val="16"/>
          </w:rPr>
          <w:t>https://drive.google.com/file/d/1VMolHv8pzmrce6kMt8POJl81LU9Y_raw/view</w:t>
        </w:r>
      </w:hyperlink>
      <w:r>
        <w:t xml:space="preserve"> </w:t>
      </w:r>
    </w:p>
  </w:footnote>
  <w:footnote w:id="8">
    <w:p w:rsidR="00E63A4C" w:rsidRDefault="00E63A4C">
      <w:pPr>
        <w:pStyle w:val="Notedebasdepage"/>
      </w:pPr>
      <w:r>
        <w:rPr>
          <w:rStyle w:val="Appelnotedebasdep"/>
        </w:rPr>
        <w:footnoteRef/>
      </w:r>
      <w:r>
        <w:t xml:space="preserve">  </w:t>
      </w:r>
      <w:hyperlink r:id="rId4" w:history="1">
        <w:r w:rsidRPr="00A23B34">
          <w:rPr>
            <w:rStyle w:val="Lienhypertexte"/>
            <w:rFonts w:ascii="Calibri" w:hAnsi="Calibri" w:cs="Calibri"/>
            <w:sz w:val="16"/>
            <w:szCs w:val="16"/>
          </w:rPr>
          <w:t>https://drive.google.com/open?id=1BwuKotf8X2MkMb50b88zmyV977tBFf-P</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hAnsi="Calibri" w:cs="Calibri"/>
        <w:i/>
        <w:color w:val="0000FF"/>
      </w:rPr>
      <w:id w:val="-1318336367"/>
      <w:docPartObj>
        <w:docPartGallery w:val="Page Numbers (Top of Page)"/>
        <w:docPartUnique/>
      </w:docPartObj>
    </w:sdtPr>
    <w:sdtEndPr>
      <w:rPr>
        <w:rFonts w:asciiTheme="minorHAnsi" w:hAnsiTheme="minorHAnsi" w:cstheme="minorBidi"/>
        <w:i w:val="0"/>
        <w:color w:val="auto"/>
      </w:rPr>
    </w:sdtEndPr>
    <w:sdtContent>
      <w:p w:rsidR="00D96B2E" w:rsidRDefault="008231E4">
        <w:pPr>
          <w:pStyle w:val="En-tte"/>
          <w:jc w:val="right"/>
        </w:pPr>
        <w:r>
          <w:rPr>
            <w:rFonts w:ascii="Calibri" w:hAnsi="Calibri" w:cs="Calibri"/>
            <w:i/>
            <w:noProof/>
            <w:color w:val="0000FF"/>
            <w:lang w:eastAsia="fr-FR"/>
          </w:rPr>
          <mc:AlternateContent>
            <mc:Choice Requires="wps">
              <w:drawing>
                <wp:anchor distT="0" distB="0" distL="114300" distR="114300" simplePos="0" relativeHeight="251661312" behindDoc="0" locked="0" layoutInCell="1" allowOverlap="1" wp14:anchorId="2AB4D562" wp14:editId="766ACDE4">
                  <wp:simplePos x="0" y="0"/>
                  <wp:positionH relativeFrom="column">
                    <wp:posOffset>5783580</wp:posOffset>
                  </wp:positionH>
                  <wp:positionV relativeFrom="paragraph">
                    <wp:posOffset>-38100</wp:posOffset>
                  </wp:positionV>
                  <wp:extent cx="2171700" cy="27432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2171700" cy="274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231E4" w:rsidRPr="008231E4" w:rsidRDefault="008231E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31E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Comité Exécutif ITIE-RDC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B4D562" id="_x0000_t202" coordsize="21600,21600" o:spt="202" path="m,l,21600r21600,l21600,xe">
                  <v:stroke joinstyle="miter"/>
                  <v:path gradientshapeok="t" o:connecttype="rect"/>
                </v:shapetype>
                <v:shape id="Zone de texte 5" o:spid="_x0000_s1026" type="#_x0000_t202" style="position:absolute;left:0;text-align:left;margin-left:455.4pt;margin-top:-3pt;width:171pt;height:21.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" fillcolor="white [3201]" stroked="f" strokeweight=".5pt">
                  <v:textbox>
                    <w:txbxContent>
                      <w:p w:rsidR="008231E4" w:rsidRPr="008231E4" w:rsidRDefault="008231E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31E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Comité Exécutif ITIE-RDC</w:t>
                        </w:r>
                      </w:p>
                    </w:txbxContent>
                  </v:textbox>
                </v:shape>
              </w:pict>
            </mc:Fallback>
          </mc:AlternateContent>
        </w:r>
        <w:r>
          <w:rPr>
            <w:rFonts w:ascii="Calibri" w:hAnsi="Calibri" w:cs="Calibri"/>
            <w:i/>
            <w:noProof/>
            <w:color w:val="0000FF"/>
            <w:lang w:eastAsia="fr-FR"/>
          </w:rPr>
          <w:drawing>
            <wp:anchor distT="0" distB="0" distL="114300" distR="114300" simplePos="0" relativeHeight="251660288" behindDoc="1" locked="0" layoutInCell="1" allowOverlap="1" wp14:anchorId="3DB1225C" wp14:editId="4F7FEA01">
              <wp:simplePos x="0" y="0"/>
              <wp:positionH relativeFrom="column">
                <wp:posOffset>-220980</wp:posOffset>
              </wp:positionH>
              <wp:positionV relativeFrom="paragraph">
                <wp:posOffset>-167640</wp:posOffset>
              </wp:positionV>
              <wp:extent cx="1905000" cy="525780"/>
              <wp:effectExtent l="0" t="0" r="0" b="762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logo final png250_69.png"/>
                      <pic:cNvPicPr/>
                    </pic:nvPicPr>
                    <pic:blipFill>
                      <a:blip r:embed="rId1">
                        <a:extLst>
                          <a:ext uri="{28A0092B-C50C-407E-A947-70E740481C1C}">
                            <a14:useLocalDpi xmlns:a14="http://schemas.microsoft.com/office/drawing/2010/main" val="0"/>
                          </a:ext>
                        </a:extLst>
                      </a:blip>
                      <a:stretch>
                        <a:fillRect/>
                      </a:stretch>
                    </pic:blipFill>
                    <pic:spPr>
                      <a:xfrm>
                        <a:off x="0" y="0"/>
                        <a:ext cx="1905000" cy="525780"/>
                      </a:xfrm>
                      <a:prstGeom prst="rect">
                        <a:avLst/>
                      </a:prstGeom>
                    </pic:spPr>
                  </pic:pic>
                </a:graphicData>
              </a:graphic>
            </wp:anchor>
          </w:drawing>
        </w:r>
        <w:r w:rsidR="00D96B2E" w:rsidRPr="00D96B2E">
          <w:rPr>
            <w:rFonts w:ascii="Calibri" w:hAnsi="Calibri" w:cs="Calibri"/>
            <w:i/>
            <w:color w:val="0000FF"/>
          </w:rPr>
          <w:t xml:space="preserve">Page </w:t>
        </w:r>
        <w:r w:rsidR="00D96B2E" w:rsidRPr="00D96B2E">
          <w:rPr>
            <w:rFonts w:ascii="Calibri" w:hAnsi="Calibri" w:cs="Calibri"/>
            <w:b/>
            <w:bCs/>
            <w:i/>
            <w:color w:val="0000FF"/>
            <w:sz w:val="24"/>
            <w:szCs w:val="24"/>
          </w:rPr>
          <w:fldChar w:fldCharType="begin"/>
        </w:r>
        <w:r w:rsidR="00D96B2E" w:rsidRPr="00D96B2E">
          <w:rPr>
            <w:rFonts w:ascii="Calibri" w:hAnsi="Calibri" w:cs="Calibri"/>
            <w:b/>
            <w:bCs/>
            <w:i/>
            <w:color w:val="0000FF"/>
          </w:rPr>
          <w:instrText>PAGE</w:instrText>
        </w:r>
        <w:r w:rsidR="00D96B2E" w:rsidRPr="00D96B2E">
          <w:rPr>
            <w:rFonts w:ascii="Calibri" w:hAnsi="Calibri" w:cs="Calibri"/>
            <w:b/>
            <w:bCs/>
            <w:i/>
            <w:color w:val="0000FF"/>
            <w:sz w:val="24"/>
            <w:szCs w:val="24"/>
          </w:rPr>
          <w:fldChar w:fldCharType="separate"/>
        </w:r>
        <w:r w:rsidR="00615389">
          <w:rPr>
            <w:rFonts w:ascii="Calibri" w:hAnsi="Calibri" w:cs="Calibri"/>
            <w:b/>
            <w:bCs/>
            <w:i/>
            <w:noProof/>
            <w:color w:val="0000FF"/>
          </w:rPr>
          <w:t>21</w:t>
        </w:r>
        <w:r w:rsidR="00D96B2E" w:rsidRPr="00D96B2E">
          <w:rPr>
            <w:rFonts w:ascii="Calibri" w:hAnsi="Calibri" w:cs="Calibri"/>
            <w:b/>
            <w:bCs/>
            <w:i/>
            <w:color w:val="0000FF"/>
            <w:sz w:val="24"/>
            <w:szCs w:val="24"/>
          </w:rPr>
          <w:fldChar w:fldCharType="end"/>
        </w:r>
        <w:r w:rsidR="00D96B2E" w:rsidRPr="00D96B2E">
          <w:rPr>
            <w:rFonts w:ascii="Calibri" w:hAnsi="Calibri" w:cs="Calibri"/>
            <w:i/>
            <w:color w:val="0000FF"/>
          </w:rPr>
          <w:t xml:space="preserve"> sur </w:t>
        </w:r>
        <w:r w:rsidR="00D96B2E" w:rsidRPr="00D96B2E">
          <w:rPr>
            <w:rFonts w:ascii="Calibri" w:hAnsi="Calibri" w:cs="Calibri"/>
            <w:b/>
            <w:bCs/>
            <w:i/>
            <w:color w:val="0000FF"/>
            <w:sz w:val="24"/>
            <w:szCs w:val="24"/>
          </w:rPr>
          <w:fldChar w:fldCharType="begin"/>
        </w:r>
        <w:r w:rsidR="00D96B2E" w:rsidRPr="00D96B2E">
          <w:rPr>
            <w:rFonts w:ascii="Calibri" w:hAnsi="Calibri" w:cs="Calibri"/>
            <w:b/>
            <w:bCs/>
            <w:i/>
            <w:color w:val="0000FF"/>
          </w:rPr>
          <w:instrText>NUMPAGES</w:instrText>
        </w:r>
        <w:r w:rsidR="00D96B2E" w:rsidRPr="00D96B2E">
          <w:rPr>
            <w:rFonts w:ascii="Calibri" w:hAnsi="Calibri" w:cs="Calibri"/>
            <w:b/>
            <w:bCs/>
            <w:i/>
            <w:color w:val="0000FF"/>
            <w:sz w:val="24"/>
            <w:szCs w:val="24"/>
          </w:rPr>
          <w:fldChar w:fldCharType="separate"/>
        </w:r>
        <w:r w:rsidR="00615389">
          <w:rPr>
            <w:rFonts w:ascii="Calibri" w:hAnsi="Calibri" w:cs="Calibri"/>
            <w:b/>
            <w:bCs/>
            <w:i/>
            <w:noProof/>
            <w:color w:val="0000FF"/>
          </w:rPr>
          <w:t>24</w:t>
        </w:r>
        <w:r w:rsidR="00D96B2E" w:rsidRPr="00D96B2E">
          <w:rPr>
            <w:rFonts w:ascii="Calibri" w:hAnsi="Calibri" w:cs="Calibri"/>
            <w:b/>
            <w:bCs/>
            <w:i/>
            <w:color w:val="0000FF"/>
            <w:sz w:val="24"/>
            <w:szCs w:val="24"/>
          </w:rPr>
          <w:fldChar w:fldCharType="end"/>
        </w:r>
      </w:p>
    </w:sdtContent>
  </w:sdt>
  <w:p w:rsidR="00D96B2E" w:rsidRDefault="00D96B2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1E4" w:rsidRDefault="008231E4">
    <w:pPr>
      <w:pStyle w:val="En-tte"/>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6614160</wp:posOffset>
              </wp:positionH>
              <wp:positionV relativeFrom="paragraph">
                <wp:posOffset>-83820</wp:posOffset>
              </wp:positionV>
              <wp:extent cx="2324100" cy="31242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2324100" cy="312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231E4" w:rsidRPr="008231E4" w:rsidRDefault="008231E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31E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Comité Exécutif ITIE-RDC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margin-left:520.8pt;margin-top:-6.6pt;width:183pt;height:24.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" fillcolor="white [3201]" stroked="f" strokeweight=".5pt">
              <v:textbox>
                <w:txbxContent>
                  <w:p w:rsidR="008231E4" w:rsidRPr="008231E4" w:rsidRDefault="008231E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31E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Comité Exécutif ITIE-RDC</w:t>
                    </w:r>
                  </w:p>
                </w:txbxContent>
              </v:textbox>
            </v:shape>
          </w:pict>
        </mc:Fallback>
      </mc:AlternateContent>
    </w:r>
    <w:r>
      <w:rPr>
        <w:noProof/>
        <w:lang w:eastAsia="fr-FR"/>
      </w:rPr>
      <w:drawing>
        <wp:inline distT="0" distB="0" distL="0" distR="0">
          <wp:extent cx="1905165" cy="525826"/>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final png250_69.png"/>
                  <pic:cNvPicPr/>
                </pic:nvPicPr>
                <pic:blipFill>
                  <a:blip r:embed="rId1">
                    <a:extLst>
                      <a:ext uri="{28A0092B-C50C-407E-A947-70E740481C1C}">
                        <a14:useLocalDpi xmlns:a14="http://schemas.microsoft.com/office/drawing/2010/main" val="0"/>
                      </a:ext>
                    </a:extLst>
                  </a:blip>
                  <a:stretch>
                    <a:fillRect/>
                  </a:stretch>
                </pic:blipFill>
                <pic:spPr>
                  <a:xfrm>
                    <a:off x="0" y="0"/>
                    <a:ext cx="1905165" cy="52582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B09F1"/>
    <w:multiLevelType w:val="hybridMultilevel"/>
    <w:tmpl w:val="0E229378"/>
    <w:lvl w:ilvl="0" w:tplc="040C0001">
      <w:start w:val="1"/>
      <w:numFmt w:val="bullet"/>
      <w:lvlText w:val=""/>
      <w:lvlJc w:val="left"/>
      <w:pPr>
        <w:ind w:left="760" w:hanging="360"/>
      </w:pPr>
      <w:rPr>
        <w:rFonts w:ascii="Symbol" w:hAnsi="Symbol" w:hint="default"/>
      </w:rPr>
    </w:lvl>
    <w:lvl w:ilvl="1" w:tplc="040C0003" w:tentative="1">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1">
    <w:nsid w:val="099F3E57"/>
    <w:multiLevelType w:val="hybridMultilevel"/>
    <w:tmpl w:val="20A60184"/>
    <w:lvl w:ilvl="0" w:tplc="9BACBA72">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892439"/>
    <w:multiLevelType w:val="hybridMultilevel"/>
    <w:tmpl w:val="A760BBC0"/>
    <w:lvl w:ilvl="0" w:tplc="040C0001">
      <w:start w:val="1"/>
      <w:numFmt w:val="bullet"/>
      <w:lvlText w:val=""/>
      <w:lvlJc w:val="left"/>
      <w:pPr>
        <w:ind w:left="760" w:hanging="360"/>
      </w:pPr>
      <w:rPr>
        <w:rFonts w:ascii="Symbol" w:hAnsi="Symbol" w:hint="default"/>
      </w:rPr>
    </w:lvl>
    <w:lvl w:ilvl="1" w:tplc="040C0003" w:tentative="1">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3">
    <w:nsid w:val="1EEB671D"/>
    <w:multiLevelType w:val="hybridMultilevel"/>
    <w:tmpl w:val="1F4C1310"/>
    <w:lvl w:ilvl="0" w:tplc="040C0001">
      <w:start w:val="1"/>
      <w:numFmt w:val="bullet"/>
      <w:lvlText w:val=""/>
      <w:lvlJc w:val="left"/>
      <w:pPr>
        <w:ind w:left="760" w:hanging="360"/>
      </w:pPr>
      <w:rPr>
        <w:rFonts w:ascii="Symbol" w:hAnsi="Symbol" w:hint="default"/>
      </w:rPr>
    </w:lvl>
    <w:lvl w:ilvl="1" w:tplc="040C0003" w:tentative="1">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4">
    <w:nsid w:val="25310BF3"/>
    <w:multiLevelType w:val="hybridMultilevel"/>
    <w:tmpl w:val="35DA76BE"/>
    <w:lvl w:ilvl="0" w:tplc="CE1EEA4E">
      <w:start w:val="1"/>
      <w:numFmt w:val="decimal"/>
      <w:lvlText w:val="%1)"/>
      <w:lvlJc w:val="left"/>
      <w:pPr>
        <w:ind w:left="497" w:hanging="360"/>
      </w:pPr>
      <w:rPr>
        <w:rFonts w:hint="default"/>
        <w:sz w:val="16"/>
        <w:szCs w:val="1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16C43B3"/>
    <w:multiLevelType w:val="hybridMultilevel"/>
    <w:tmpl w:val="A94C557A"/>
    <w:lvl w:ilvl="0" w:tplc="040C0001">
      <w:start w:val="1"/>
      <w:numFmt w:val="bullet"/>
      <w:lvlText w:val=""/>
      <w:lvlJc w:val="left"/>
      <w:pPr>
        <w:ind w:left="760" w:hanging="360"/>
      </w:pPr>
      <w:rPr>
        <w:rFonts w:ascii="Symbol" w:hAnsi="Symbol" w:hint="default"/>
      </w:rPr>
    </w:lvl>
    <w:lvl w:ilvl="1" w:tplc="040C0003" w:tentative="1">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6">
    <w:nsid w:val="3213392A"/>
    <w:multiLevelType w:val="hybridMultilevel"/>
    <w:tmpl w:val="87902B12"/>
    <w:lvl w:ilvl="0" w:tplc="AD60EBD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3F83A05"/>
    <w:multiLevelType w:val="hybridMultilevel"/>
    <w:tmpl w:val="212C2100"/>
    <w:lvl w:ilvl="0" w:tplc="040C0011">
      <w:start w:val="1"/>
      <w:numFmt w:val="decimal"/>
      <w:lvlText w:val="%1)"/>
      <w:lvlJc w:val="left"/>
      <w:pPr>
        <w:ind w:left="497"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23029D1"/>
    <w:multiLevelType w:val="hybridMultilevel"/>
    <w:tmpl w:val="CEF4E108"/>
    <w:lvl w:ilvl="0" w:tplc="040C0001">
      <w:start w:val="1"/>
      <w:numFmt w:val="bullet"/>
      <w:lvlText w:val=""/>
      <w:lvlJc w:val="left"/>
      <w:pPr>
        <w:ind w:left="760" w:hanging="360"/>
      </w:pPr>
      <w:rPr>
        <w:rFonts w:ascii="Symbol" w:hAnsi="Symbol" w:hint="default"/>
      </w:rPr>
    </w:lvl>
    <w:lvl w:ilvl="1" w:tplc="040C0003" w:tentative="1">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9">
    <w:nsid w:val="6295320D"/>
    <w:multiLevelType w:val="hybridMultilevel"/>
    <w:tmpl w:val="927C3DB4"/>
    <w:lvl w:ilvl="0" w:tplc="C122AF0C">
      <w:start w:val="1"/>
      <w:numFmt w:val="bullet"/>
      <w:lvlText w:val=""/>
      <w:lvlJc w:val="left"/>
      <w:pPr>
        <w:ind w:left="975" w:hanging="360"/>
      </w:pPr>
      <w:rPr>
        <w:rFonts w:ascii="Symbol" w:hAnsi="Symbol" w:hint="default"/>
      </w:rPr>
    </w:lvl>
    <w:lvl w:ilvl="1" w:tplc="04090003">
      <w:start w:val="1"/>
      <w:numFmt w:val="bullet"/>
      <w:lvlText w:val="o"/>
      <w:lvlJc w:val="left"/>
      <w:pPr>
        <w:ind w:left="1695" w:hanging="360"/>
      </w:pPr>
      <w:rPr>
        <w:rFonts w:ascii="Courier New" w:hAnsi="Courier New" w:cs="Courier New" w:hint="default"/>
      </w:rPr>
    </w:lvl>
    <w:lvl w:ilvl="2" w:tplc="04090005">
      <w:start w:val="1"/>
      <w:numFmt w:val="bullet"/>
      <w:lvlText w:val=""/>
      <w:lvlJc w:val="left"/>
      <w:pPr>
        <w:ind w:left="2415" w:hanging="360"/>
      </w:pPr>
      <w:rPr>
        <w:rFonts w:ascii="Wingdings" w:hAnsi="Wingdings" w:hint="default"/>
      </w:rPr>
    </w:lvl>
    <w:lvl w:ilvl="3" w:tplc="04090001">
      <w:start w:val="1"/>
      <w:numFmt w:val="bullet"/>
      <w:lvlText w:val=""/>
      <w:lvlJc w:val="left"/>
      <w:pPr>
        <w:ind w:left="3135" w:hanging="360"/>
      </w:pPr>
      <w:rPr>
        <w:rFonts w:ascii="Symbol" w:hAnsi="Symbol" w:hint="default"/>
      </w:rPr>
    </w:lvl>
    <w:lvl w:ilvl="4" w:tplc="04090003">
      <w:start w:val="1"/>
      <w:numFmt w:val="bullet"/>
      <w:lvlText w:val="o"/>
      <w:lvlJc w:val="left"/>
      <w:pPr>
        <w:ind w:left="3855" w:hanging="360"/>
      </w:pPr>
      <w:rPr>
        <w:rFonts w:ascii="Courier New" w:hAnsi="Courier New" w:cs="Courier New" w:hint="default"/>
      </w:rPr>
    </w:lvl>
    <w:lvl w:ilvl="5" w:tplc="04090005">
      <w:start w:val="1"/>
      <w:numFmt w:val="bullet"/>
      <w:lvlText w:val=""/>
      <w:lvlJc w:val="left"/>
      <w:pPr>
        <w:ind w:left="4575" w:hanging="360"/>
      </w:pPr>
      <w:rPr>
        <w:rFonts w:ascii="Wingdings" w:hAnsi="Wingdings" w:hint="default"/>
      </w:rPr>
    </w:lvl>
    <w:lvl w:ilvl="6" w:tplc="04090001">
      <w:start w:val="1"/>
      <w:numFmt w:val="bullet"/>
      <w:lvlText w:val=""/>
      <w:lvlJc w:val="left"/>
      <w:pPr>
        <w:ind w:left="5295" w:hanging="360"/>
      </w:pPr>
      <w:rPr>
        <w:rFonts w:ascii="Symbol" w:hAnsi="Symbol" w:hint="default"/>
      </w:rPr>
    </w:lvl>
    <w:lvl w:ilvl="7" w:tplc="04090003">
      <w:start w:val="1"/>
      <w:numFmt w:val="bullet"/>
      <w:lvlText w:val="o"/>
      <w:lvlJc w:val="left"/>
      <w:pPr>
        <w:ind w:left="6015" w:hanging="360"/>
      </w:pPr>
      <w:rPr>
        <w:rFonts w:ascii="Courier New" w:hAnsi="Courier New" w:cs="Courier New" w:hint="default"/>
      </w:rPr>
    </w:lvl>
    <w:lvl w:ilvl="8" w:tplc="04090005">
      <w:start w:val="1"/>
      <w:numFmt w:val="bullet"/>
      <w:lvlText w:val=""/>
      <w:lvlJc w:val="left"/>
      <w:pPr>
        <w:ind w:left="6735" w:hanging="360"/>
      </w:pPr>
      <w:rPr>
        <w:rFonts w:ascii="Wingdings" w:hAnsi="Wingdings" w:hint="default"/>
      </w:rPr>
    </w:lvl>
  </w:abstractNum>
  <w:abstractNum w:abstractNumId="10">
    <w:nsid w:val="6A6900FE"/>
    <w:multiLevelType w:val="hybridMultilevel"/>
    <w:tmpl w:val="600AB9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F653DFA"/>
    <w:multiLevelType w:val="hybridMultilevel"/>
    <w:tmpl w:val="B46663DE"/>
    <w:lvl w:ilvl="0" w:tplc="4D46E14C">
      <w:start w:val="1"/>
      <w:numFmt w:val="decimal"/>
      <w:lvlText w:val="%1)"/>
      <w:lvlJc w:val="left"/>
      <w:pPr>
        <w:ind w:left="497"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B750BB9"/>
    <w:multiLevelType w:val="hybridMultilevel"/>
    <w:tmpl w:val="B11E6FF2"/>
    <w:lvl w:ilvl="0" w:tplc="040C0001">
      <w:start w:val="1"/>
      <w:numFmt w:val="bullet"/>
      <w:lvlText w:val=""/>
      <w:lvlJc w:val="left"/>
      <w:pPr>
        <w:ind w:left="760" w:hanging="360"/>
      </w:pPr>
      <w:rPr>
        <w:rFonts w:ascii="Symbol" w:hAnsi="Symbol" w:hint="default"/>
      </w:rPr>
    </w:lvl>
    <w:lvl w:ilvl="1" w:tplc="040C0003" w:tentative="1">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num w:numId="1">
    <w:abstractNumId w:val="6"/>
  </w:num>
  <w:num w:numId="2">
    <w:abstractNumId w:val="1"/>
  </w:num>
  <w:num w:numId="3">
    <w:abstractNumId w:val="10"/>
  </w:num>
  <w:num w:numId="4">
    <w:abstractNumId w:val="7"/>
  </w:num>
  <w:num w:numId="5">
    <w:abstractNumId w:val="4"/>
  </w:num>
  <w:num w:numId="6">
    <w:abstractNumId w:val="11"/>
  </w:num>
  <w:num w:numId="7">
    <w:abstractNumId w:val="9"/>
  </w:num>
  <w:num w:numId="8">
    <w:abstractNumId w:val="8"/>
  </w:num>
  <w:num w:numId="9">
    <w:abstractNumId w:val="3"/>
  </w:num>
  <w:num w:numId="10">
    <w:abstractNumId w:val="12"/>
  </w:num>
  <w:num w:numId="11">
    <w:abstractNumId w:val="0"/>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2B"/>
    <w:rsid w:val="00037D8A"/>
    <w:rsid w:val="0004601B"/>
    <w:rsid w:val="000475C4"/>
    <w:rsid w:val="0009159B"/>
    <w:rsid w:val="000A3952"/>
    <w:rsid w:val="00105593"/>
    <w:rsid w:val="0019449A"/>
    <w:rsid w:val="001E5CC4"/>
    <w:rsid w:val="001F5CAC"/>
    <w:rsid w:val="00225542"/>
    <w:rsid w:val="00226A65"/>
    <w:rsid w:val="002454FE"/>
    <w:rsid w:val="00257BC5"/>
    <w:rsid w:val="0026500E"/>
    <w:rsid w:val="0027391A"/>
    <w:rsid w:val="002B07E7"/>
    <w:rsid w:val="002F63D4"/>
    <w:rsid w:val="00391400"/>
    <w:rsid w:val="003F1947"/>
    <w:rsid w:val="00454E31"/>
    <w:rsid w:val="00482599"/>
    <w:rsid w:val="0050246E"/>
    <w:rsid w:val="005415A6"/>
    <w:rsid w:val="005455B6"/>
    <w:rsid w:val="00547788"/>
    <w:rsid w:val="00554D02"/>
    <w:rsid w:val="00582FD7"/>
    <w:rsid w:val="00585B37"/>
    <w:rsid w:val="005A40B4"/>
    <w:rsid w:val="005B0391"/>
    <w:rsid w:val="00607341"/>
    <w:rsid w:val="00615389"/>
    <w:rsid w:val="00616E70"/>
    <w:rsid w:val="0062492B"/>
    <w:rsid w:val="0064052B"/>
    <w:rsid w:val="0065440E"/>
    <w:rsid w:val="006D324D"/>
    <w:rsid w:val="007040BD"/>
    <w:rsid w:val="00740E0B"/>
    <w:rsid w:val="00760930"/>
    <w:rsid w:val="00797925"/>
    <w:rsid w:val="007F4261"/>
    <w:rsid w:val="007F7F67"/>
    <w:rsid w:val="00810984"/>
    <w:rsid w:val="008231E4"/>
    <w:rsid w:val="008672C8"/>
    <w:rsid w:val="00871778"/>
    <w:rsid w:val="00882994"/>
    <w:rsid w:val="008C2D39"/>
    <w:rsid w:val="008F31C3"/>
    <w:rsid w:val="00953654"/>
    <w:rsid w:val="00966F60"/>
    <w:rsid w:val="009B0474"/>
    <w:rsid w:val="00A22206"/>
    <w:rsid w:val="00A23B34"/>
    <w:rsid w:val="00A26385"/>
    <w:rsid w:val="00A4084A"/>
    <w:rsid w:val="00A54146"/>
    <w:rsid w:val="00A542BE"/>
    <w:rsid w:val="00A57877"/>
    <w:rsid w:val="00A66994"/>
    <w:rsid w:val="00AB75E8"/>
    <w:rsid w:val="00AD6313"/>
    <w:rsid w:val="00AF6110"/>
    <w:rsid w:val="00B53488"/>
    <w:rsid w:val="00B7448E"/>
    <w:rsid w:val="00B77490"/>
    <w:rsid w:val="00B82F6D"/>
    <w:rsid w:val="00BA1FCB"/>
    <w:rsid w:val="00BA3B24"/>
    <w:rsid w:val="00BC486E"/>
    <w:rsid w:val="00BC7652"/>
    <w:rsid w:val="00BD689E"/>
    <w:rsid w:val="00C12D79"/>
    <w:rsid w:val="00C15D33"/>
    <w:rsid w:val="00C20A20"/>
    <w:rsid w:val="00C44F51"/>
    <w:rsid w:val="00C56FC8"/>
    <w:rsid w:val="00C71FC9"/>
    <w:rsid w:val="00CB58F0"/>
    <w:rsid w:val="00D23E83"/>
    <w:rsid w:val="00D54AD7"/>
    <w:rsid w:val="00D55F87"/>
    <w:rsid w:val="00D65BF5"/>
    <w:rsid w:val="00D8326F"/>
    <w:rsid w:val="00D96B2E"/>
    <w:rsid w:val="00DC075E"/>
    <w:rsid w:val="00DE10EC"/>
    <w:rsid w:val="00E63A4C"/>
    <w:rsid w:val="00E64CDE"/>
    <w:rsid w:val="00E83D79"/>
    <w:rsid w:val="00F01948"/>
    <w:rsid w:val="00F04A33"/>
    <w:rsid w:val="00F207D0"/>
    <w:rsid w:val="00F6183D"/>
    <w:rsid w:val="00F644F1"/>
    <w:rsid w:val="00FB1657"/>
    <w:rsid w:val="00FE2A8E"/>
    <w:rsid w:val="00FF16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3333B6-0CCC-448C-AB7A-DA2E2017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2255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GILBERTO">
    <w:name w:val="STYLE GILBERTO"/>
    <w:basedOn w:val="Normal"/>
    <w:link w:val="STYLEGILBERTOCar"/>
    <w:autoRedefine/>
    <w:qFormat/>
    <w:rsid w:val="00BA3B24"/>
    <w:pPr>
      <w:pBdr>
        <w:bottom w:val="single" w:sz="18" w:space="1" w:color="0070C0"/>
      </w:pBdr>
      <w:spacing w:before="240"/>
    </w:pPr>
    <w:rPr>
      <w:rFonts w:ascii="Calibri" w:hAnsi="Calibri"/>
      <w:b/>
      <w:color w:val="0070C0"/>
      <w:sz w:val="28"/>
    </w:rPr>
  </w:style>
  <w:style w:type="character" w:customStyle="1" w:styleId="STYLEGILBERTOCar">
    <w:name w:val="STYLE GILBERTO Car"/>
    <w:basedOn w:val="Policepardfaut"/>
    <w:link w:val="STYLEGILBERTO"/>
    <w:rsid w:val="00BA3B24"/>
    <w:rPr>
      <w:rFonts w:ascii="Calibri" w:hAnsi="Calibri"/>
      <w:b/>
      <w:color w:val="0070C0"/>
      <w:sz w:val="28"/>
    </w:rPr>
  </w:style>
  <w:style w:type="paragraph" w:customStyle="1" w:styleId="Gil">
    <w:name w:val="Gil."/>
    <w:basedOn w:val="Normal"/>
    <w:link w:val="GilCar"/>
    <w:autoRedefine/>
    <w:qFormat/>
    <w:rsid w:val="00D54AD7"/>
    <w:pPr>
      <w:pBdr>
        <w:bottom w:val="single" w:sz="18" w:space="1" w:color="0070C0"/>
      </w:pBdr>
    </w:pPr>
    <w:rPr>
      <w:rFonts w:ascii="Georgia" w:hAnsi="Georgia"/>
      <w:b/>
      <w:color w:val="0070C0"/>
      <w:sz w:val="28"/>
    </w:rPr>
  </w:style>
  <w:style w:type="character" w:customStyle="1" w:styleId="GilCar">
    <w:name w:val="Gil. Car"/>
    <w:basedOn w:val="Policepardfaut"/>
    <w:link w:val="Gil"/>
    <w:rsid w:val="00D54AD7"/>
    <w:rPr>
      <w:rFonts w:ascii="Georgia" w:hAnsi="Georgia"/>
      <w:b/>
      <w:color w:val="0070C0"/>
      <w:sz w:val="28"/>
    </w:rPr>
  </w:style>
  <w:style w:type="paragraph" w:customStyle="1" w:styleId="GilbaCalibri">
    <w:name w:val="Gilba Calibri"/>
    <w:basedOn w:val="Titre"/>
    <w:link w:val="GilbaCalibriCar"/>
    <w:autoRedefine/>
    <w:qFormat/>
    <w:rsid w:val="0050246E"/>
    <w:pPr>
      <w:pBdr>
        <w:bottom w:val="single" w:sz="18" w:space="1" w:color="0070C0"/>
      </w:pBdr>
      <w:jc w:val="center"/>
    </w:pPr>
    <w:rPr>
      <w:rFonts w:ascii="Calibri" w:hAnsi="Calibri" w:cs="Calibri"/>
      <w:sz w:val="36"/>
    </w:rPr>
  </w:style>
  <w:style w:type="character" w:customStyle="1" w:styleId="GilbaCalibriCar">
    <w:name w:val="Gilba Calibri Car"/>
    <w:basedOn w:val="TitreCar"/>
    <w:link w:val="GilbaCalibri"/>
    <w:rsid w:val="0050246E"/>
    <w:rPr>
      <w:rFonts w:ascii="Calibri" w:eastAsiaTheme="majorEastAsia" w:hAnsi="Calibri" w:cs="Calibri"/>
      <w:spacing w:val="-10"/>
      <w:kern w:val="28"/>
      <w:sz w:val="36"/>
      <w:szCs w:val="56"/>
    </w:rPr>
  </w:style>
  <w:style w:type="paragraph" w:styleId="Titre">
    <w:name w:val="Title"/>
    <w:basedOn w:val="Normal"/>
    <w:next w:val="Normal"/>
    <w:link w:val="TitreCar"/>
    <w:uiPriority w:val="10"/>
    <w:qFormat/>
    <w:rsid w:val="005024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246E"/>
    <w:rPr>
      <w:rFonts w:asciiTheme="majorHAnsi" w:eastAsiaTheme="majorEastAsia" w:hAnsiTheme="majorHAnsi" w:cstheme="majorBidi"/>
      <w:spacing w:val="-10"/>
      <w:kern w:val="28"/>
      <w:sz w:val="56"/>
      <w:szCs w:val="56"/>
    </w:rPr>
  </w:style>
  <w:style w:type="paragraph" w:customStyle="1" w:styleId="GilbaCalibri16">
    <w:name w:val="Gilba Calibri 16"/>
    <w:basedOn w:val="GilbaCalibri"/>
    <w:link w:val="GilbaCalibri16Car"/>
    <w:autoRedefine/>
    <w:qFormat/>
    <w:rsid w:val="0050246E"/>
    <w:pPr>
      <w:jc w:val="left"/>
    </w:pPr>
    <w:rPr>
      <w:b/>
      <w:color w:val="0070C0"/>
      <w:sz w:val="32"/>
    </w:rPr>
  </w:style>
  <w:style w:type="character" w:customStyle="1" w:styleId="GilbaCalibri16Car">
    <w:name w:val="Gilba Calibri 16 Car"/>
    <w:basedOn w:val="GilbaCalibriCar"/>
    <w:link w:val="GilbaCalibri16"/>
    <w:rsid w:val="0050246E"/>
    <w:rPr>
      <w:rFonts w:ascii="Calibri" w:eastAsiaTheme="majorEastAsia" w:hAnsi="Calibri" w:cs="Calibri"/>
      <w:b/>
      <w:color w:val="0070C0"/>
      <w:spacing w:val="-10"/>
      <w:kern w:val="28"/>
      <w:sz w:val="32"/>
      <w:szCs w:val="56"/>
    </w:rPr>
  </w:style>
  <w:style w:type="paragraph" w:customStyle="1" w:styleId="GilbertoGil">
    <w:name w:val="Gilberto Gil"/>
    <w:basedOn w:val="Normal"/>
    <w:link w:val="GilbertoGilCar"/>
    <w:autoRedefine/>
    <w:qFormat/>
    <w:rsid w:val="00A57877"/>
    <w:pPr>
      <w:pBdr>
        <w:bottom w:val="single" w:sz="18" w:space="1" w:color="0070C0"/>
      </w:pBdr>
      <w:shd w:val="clear" w:color="auto" w:fill="FFFFFF"/>
      <w:spacing w:after="0" w:line="390" w:lineRule="atLeast"/>
      <w:outlineLvl w:val="0"/>
    </w:pPr>
    <w:rPr>
      <w:rFonts w:ascii="Comic Sans MS" w:eastAsia="Times New Roman" w:hAnsi="Comic Sans MS" w:cs="Helvetica"/>
      <w:b/>
      <w:color w:val="0070C0"/>
      <w:kern w:val="36"/>
      <w:sz w:val="32"/>
      <w:szCs w:val="30"/>
      <w:lang w:eastAsia="fr-FR"/>
    </w:rPr>
  </w:style>
  <w:style w:type="character" w:customStyle="1" w:styleId="GilbertoGilCar">
    <w:name w:val="Gilberto Gil Car"/>
    <w:basedOn w:val="Policepardfaut"/>
    <w:link w:val="GilbertoGil"/>
    <w:rsid w:val="00A57877"/>
    <w:rPr>
      <w:rFonts w:ascii="Comic Sans MS" w:eastAsia="Times New Roman" w:hAnsi="Comic Sans MS" w:cs="Helvetica"/>
      <w:b/>
      <w:color w:val="0070C0"/>
      <w:kern w:val="36"/>
      <w:sz w:val="32"/>
      <w:szCs w:val="30"/>
      <w:shd w:val="clear" w:color="auto" w:fill="FFFFFF"/>
      <w:lang w:eastAsia="fr-FR"/>
    </w:rPr>
  </w:style>
  <w:style w:type="paragraph" w:customStyle="1" w:styleId="Style1">
    <w:name w:val="Style1"/>
    <w:basedOn w:val="Titre"/>
    <w:link w:val="Style1Car"/>
    <w:autoRedefine/>
    <w:qFormat/>
    <w:rsid w:val="00225542"/>
    <w:pPr>
      <w:pBdr>
        <w:bottom w:val="single" w:sz="18" w:space="1" w:color="0070C0"/>
      </w:pBdr>
    </w:pPr>
    <w:rPr>
      <w:rFonts w:ascii="Lucida Sans Unicode" w:eastAsia="Times New Roman" w:hAnsi="Lucida Sans Unicode"/>
      <w:b/>
      <w:color w:val="0070C0"/>
      <w:sz w:val="24"/>
      <w:szCs w:val="24"/>
      <w:lang w:eastAsia="fr-FR"/>
    </w:rPr>
  </w:style>
  <w:style w:type="character" w:customStyle="1" w:styleId="Style1Car">
    <w:name w:val="Style1 Car"/>
    <w:basedOn w:val="TitreCar"/>
    <w:link w:val="Style1"/>
    <w:rsid w:val="00225542"/>
    <w:rPr>
      <w:rFonts w:ascii="Lucida Sans Unicode" w:eastAsia="Times New Roman" w:hAnsi="Lucida Sans Unicode" w:cstheme="majorBidi"/>
      <w:b/>
      <w:color w:val="0070C0"/>
      <w:spacing w:val="-10"/>
      <w:kern w:val="28"/>
      <w:sz w:val="24"/>
      <w:szCs w:val="24"/>
      <w:lang w:eastAsia="fr-FR"/>
    </w:rPr>
  </w:style>
  <w:style w:type="character" w:styleId="Lienhypertexte">
    <w:name w:val="Hyperlink"/>
    <w:basedOn w:val="Policepardfaut"/>
    <w:uiPriority w:val="99"/>
    <w:unhideWhenUsed/>
    <w:rsid w:val="00A22206"/>
    <w:rPr>
      <w:color w:val="0000FF"/>
      <w:u w:val="single"/>
    </w:rPr>
  </w:style>
  <w:style w:type="character" w:styleId="Lienhypertextesuivivisit">
    <w:name w:val="FollowedHyperlink"/>
    <w:basedOn w:val="Policepardfaut"/>
    <w:uiPriority w:val="99"/>
    <w:semiHidden/>
    <w:unhideWhenUsed/>
    <w:rsid w:val="00A22206"/>
    <w:rPr>
      <w:color w:val="954F72" w:themeColor="followedHyperlink"/>
      <w:u w:val="single"/>
    </w:rPr>
  </w:style>
  <w:style w:type="paragraph" w:styleId="Paragraphedeliste">
    <w:name w:val="List Paragraph"/>
    <w:basedOn w:val="Normal"/>
    <w:uiPriority w:val="34"/>
    <w:qFormat/>
    <w:rsid w:val="00A542BE"/>
    <w:pPr>
      <w:ind w:left="720"/>
      <w:contextualSpacing/>
    </w:pPr>
  </w:style>
  <w:style w:type="paragraph" w:styleId="Notedebasdepage">
    <w:name w:val="footnote text"/>
    <w:basedOn w:val="Normal"/>
    <w:link w:val="NotedebasdepageCar"/>
    <w:uiPriority w:val="99"/>
    <w:semiHidden/>
    <w:unhideWhenUsed/>
    <w:rsid w:val="00A542B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542BE"/>
    <w:rPr>
      <w:sz w:val="20"/>
      <w:szCs w:val="20"/>
    </w:rPr>
  </w:style>
  <w:style w:type="character" w:styleId="Appelnotedebasdep">
    <w:name w:val="footnote reference"/>
    <w:basedOn w:val="Policepardfaut"/>
    <w:uiPriority w:val="99"/>
    <w:semiHidden/>
    <w:unhideWhenUsed/>
    <w:rsid w:val="00A542BE"/>
    <w:rPr>
      <w:vertAlign w:val="superscript"/>
    </w:rPr>
  </w:style>
  <w:style w:type="paragraph" w:styleId="En-tte">
    <w:name w:val="header"/>
    <w:basedOn w:val="Normal"/>
    <w:link w:val="En-tteCar"/>
    <w:uiPriority w:val="99"/>
    <w:unhideWhenUsed/>
    <w:rsid w:val="00D96B2E"/>
    <w:pPr>
      <w:tabs>
        <w:tab w:val="center" w:pos="4513"/>
        <w:tab w:val="right" w:pos="9026"/>
      </w:tabs>
      <w:spacing w:after="0" w:line="240" w:lineRule="auto"/>
    </w:pPr>
  </w:style>
  <w:style w:type="character" w:customStyle="1" w:styleId="En-tteCar">
    <w:name w:val="En-tête Car"/>
    <w:basedOn w:val="Policepardfaut"/>
    <w:link w:val="En-tte"/>
    <w:uiPriority w:val="99"/>
    <w:rsid w:val="00D96B2E"/>
  </w:style>
  <w:style w:type="paragraph" w:styleId="Pieddepage">
    <w:name w:val="footer"/>
    <w:basedOn w:val="Normal"/>
    <w:link w:val="PieddepageCar"/>
    <w:uiPriority w:val="99"/>
    <w:unhideWhenUsed/>
    <w:rsid w:val="00D96B2E"/>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D96B2E"/>
  </w:style>
  <w:style w:type="character" w:customStyle="1" w:styleId="Titre1Car">
    <w:name w:val="Titre 1 Car"/>
    <w:basedOn w:val="Policepardfaut"/>
    <w:link w:val="Titre1"/>
    <w:uiPriority w:val="9"/>
    <w:rsid w:val="00225542"/>
    <w:rPr>
      <w:rFonts w:asciiTheme="majorHAnsi" w:eastAsiaTheme="majorEastAsia" w:hAnsiTheme="majorHAnsi" w:cstheme="majorBidi"/>
      <w:color w:val="2E74B5" w:themeColor="accent1" w:themeShade="BF"/>
      <w:sz w:val="32"/>
      <w:szCs w:val="32"/>
    </w:rPr>
  </w:style>
  <w:style w:type="table" w:styleId="TableauGrille1Clair-Accentuation5">
    <w:name w:val="Grid Table 1 Light Accent 5"/>
    <w:basedOn w:val="TableauNormal"/>
    <w:uiPriority w:val="46"/>
    <w:rsid w:val="00871778"/>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126229">
      <w:bodyDiv w:val="1"/>
      <w:marLeft w:val="0"/>
      <w:marRight w:val="0"/>
      <w:marTop w:val="0"/>
      <w:marBottom w:val="0"/>
      <w:divBdr>
        <w:top w:val="none" w:sz="0" w:space="0" w:color="auto"/>
        <w:left w:val="none" w:sz="0" w:space="0" w:color="auto"/>
        <w:bottom w:val="none" w:sz="0" w:space="0" w:color="auto"/>
        <w:right w:val="none" w:sz="0" w:space="0" w:color="auto"/>
      </w:divBdr>
    </w:div>
    <w:div w:id="1584532894">
      <w:bodyDiv w:val="1"/>
      <w:marLeft w:val="0"/>
      <w:marRight w:val="0"/>
      <w:marTop w:val="0"/>
      <w:marBottom w:val="0"/>
      <w:divBdr>
        <w:top w:val="none" w:sz="0" w:space="0" w:color="auto"/>
        <w:left w:val="none" w:sz="0" w:space="0" w:color="auto"/>
        <w:bottom w:val="none" w:sz="0" w:space="0" w:color="auto"/>
        <w:right w:val="none" w:sz="0" w:space="0" w:color="auto"/>
      </w:divBdr>
    </w:div>
    <w:div w:id="1619218864">
      <w:bodyDiv w:val="1"/>
      <w:marLeft w:val="0"/>
      <w:marRight w:val="0"/>
      <w:marTop w:val="0"/>
      <w:marBottom w:val="0"/>
      <w:divBdr>
        <w:top w:val="none" w:sz="0" w:space="0" w:color="auto"/>
        <w:left w:val="none" w:sz="0" w:space="0" w:color="auto"/>
        <w:bottom w:val="none" w:sz="0" w:space="0" w:color="auto"/>
        <w:right w:val="none" w:sz="0" w:space="0" w:color="auto"/>
      </w:divBdr>
    </w:div>
    <w:div w:id="186616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p.me/P7ywo4-2en" TargetMode="External"/><Relationship Id="rId13" Type="http://schemas.openxmlformats.org/officeDocument/2006/relationships/hyperlink" Target="https://drive.google.com/file/d/0B1C1Aj5TqAgvaVVmbnc0Vk1lY00/vie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h8CAO7P1hOZ1goVrKL-HMYSYN29rbLWW/view"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0B1C1Aj5TqAgvYnJidjBMTXRSM0k/view" TargetMode="External"/><Relationship Id="rId5" Type="http://schemas.openxmlformats.org/officeDocument/2006/relationships/webSettings" Target="webSettings.xml"/><Relationship Id="rId15" Type="http://schemas.openxmlformats.org/officeDocument/2006/relationships/hyperlink" Target="https://drive.google.com/file/d/18XmGsV90yDqCda6g3aD3rmFivPDnIMqV/view" TargetMode="External"/><Relationship Id="rId10" Type="http://schemas.openxmlformats.org/officeDocument/2006/relationships/hyperlink" Target="http://www.itierdc.net/wp-content/uploads/2016/02/pv-du-CE-du-15-01-2014.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rive.google.com/file/d/1AjZnQUk5FKdvaupT2Bw9bKY9F4nqSfwy/view?usp=drive_open" TargetMode="External"/><Relationship Id="rId14" Type="http://schemas.openxmlformats.org/officeDocument/2006/relationships/hyperlink" Target="https://drive.google.com/file/d/16VAkR4oFVE-FvCZ6Nhmr2wODWl-_8G8S/view"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rive.google.com/file/d/1VMolHv8pzmrce6kMt8POJl81LU9Y_raw/view" TargetMode="External"/><Relationship Id="rId2" Type="http://schemas.openxmlformats.org/officeDocument/2006/relationships/hyperlink" Target="https://drive.google.com/file/d/1MZZdiHjzGkDaU83BPLJ2Ef5nbMzBOh4x/view" TargetMode="External"/><Relationship Id="rId1" Type="http://schemas.openxmlformats.org/officeDocument/2006/relationships/hyperlink" Target="https://drive.google.com/file/d/1G_Xqjtgdaa_pFFSaU7pJp3pPSfNBOEFy/view" TargetMode="External"/><Relationship Id="rId4" Type="http://schemas.openxmlformats.org/officeDocument/2006/relationships/hyperlink" Target="https://drive.google.com/open?id=1BwuKotf8X2MkMb50b88zmyV977tBFf-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0C7CC-7E8E-429B-9F96-7A34CAC69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9771</Words>
  <Characters>53742</Characters>
  <Application>Microsoft Office Word</Application>
  <DocSecurity>0</DocSecurity>
  <Lines>447</Lines>
  <Paragraphs>126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DENINGAIDI</dc:creator>
  <cp:keywords/>
  <dc:description/>
  <cp:lastModifiedBy>sandra kisita</cp:lastModifiedBy>
  <cp:revision>6</cp:revision>
  <dcterms:created xsi:type="dcterms:W3CDTF">2019-06-05T20:21:00Z</dcterms:created>
  <dcterms:modified xsi:type="dcterms:W3CDTF">2019-06-05T20:38:00Z</dcterms:modified>
</cp:coreProperties>
</file>